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9D43A">
      <w:pPr>
        <w:pStyle w:val="8"/>
        <w:spacing w:before="120" w:beforeAutospacing="0" w:after="120" w:afterAutospacing="0" w:line="360" w:lineRule="auto"/>
        <w:rPr>
          <w:highlight w:val="none"/>
        </w:rPr>
      </w:pPr>
      <w:r>
        <w:rPr>
          <w:highlight w:val="none"/>
        </w:rPr>
        <w:t> </w:t>
      </w:r>
    </w:p>
    <w:p w14:paraId="5E4882E9">
      <w:pPr>
        <w:pStyle w:val="8"/>
        <w:spacing w:before="120" w:beforeAutospacing="0" w:after="120" w:afterAutospacing="0" w:line="360" w:lineRule="auto"/>
        <w:jc w:val="center"/>
        <w:rPr>
          <w:rFonts w:ascii="Arial" w:hAnsi="Arial" w:cs="Arial"/>
          <w:b/>
          <w:color w:val="000000"/>
          <w:sz w:val="84"/>
          <w:szCs w:val="84"/>
          <w:highlight w:val="none"/>
        </w:rPr>
      </w:pPr>
    </w:p>
    <w:p w14:paraId="4ACB3DA4">
      <w:pPr>
        <w:pStyle w:val="8"/>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44A06044">
      <w:pPr>
        <w:pStyle w:val="8"/>
        <w:spacing w:before="120" w:beforeAutospacing="0" w:after="120" w:afterAutospacing="0" w:line="360" w:lineRule="auto"/>
        <w:jc w:val="both"/>
        <w:rPr>
          <w:rFonts w:ascii="Arial" w:hAnsi="Arial" w:cs="Arial"/>
          <w:b/>
          <w:color w:val="000000"/>
          <w:sz w:val="32"/>
          <w:szCs w:val="32"/>
          <w:highlight w:val="none"/>
        </w:rPr>
      </w:pPr>
    </w:p>
    <w:p w14:paraId="446EC8DE">
      <w:pPr>
        <w:pStyle w:val="8"/>
        <w:spacing w:before="120" w:beforeAutospacing="0" w:after="120" w:afterAutospacing="0" w:line="360" w:lineRule="auto"/>
        <w:jc w:val="both"/>
        <w:rPr>
          <w:rFonts w:ascii="Arial" w:hAnsi="Arial" w:cs="Arial"/>
          <w:b/>
          <w:color w:val="000000"/>
          <w:sz w:val="32"/>
          <w:szCs w:val="32"/>
          <w:highlight w:val="none"/>
        </w:rPr>
      </w:pPr>
    </w:p>
    <w:p w14:paraId="1E3D1749">
      <w:pPr>
        <w:pStyle w:val="8"/>
        <w:spacing w:before="120" w:beforeAutospacing="0" w:after="120" w:afterAutospacing="0" w:line="360" w:lineRule="auto"/>
        <w:jc w:val="both"/>
        <w:rPr>
          <w:rFonts w:ascii="Arial" w:hAnsi="Arial" w:cs="Arial"/>
          <w:b/>
          <w:color w:val="000000"/>
          <w:sz w:val="32"/>
          <w:szCs w:val="32"/>
          <w:highlight w:val="none"/>
        </w:rPr>
      </w:pPr>
    </w:p>
    <w:p w14:paraId="22F52F00">
      <w:pPr>
        <w:pStyle w:val="8"/>
        <w:spacing w:before="120" w:beforeAutospacing="0" w:after="120" w:afterAutospacing="0" w:line="360" w:lineRule="auto"/>
        <w:jc w:val="both"/>
        <w:rPr>
          <w:rFonts w:ascii="Arial" w:hAnsi="Arial" w:cs="Arial"/>
          <w:b/>
          <w:color w:val="000000"/>
          <w:sz w:val="32"/>
          <w:szCs w:val="32"/>
          <w:highlight w:val="none"/>
        </w:rPr>
      </w:pPr>
      <w:r>
        <w:rPr>
          <w:rFonts w:ascii="Arial" w:hAnsi="Arial" w:cs="Arial"/>
          <w:b/>
          <w:color w:val="000000"/>
          <w:sz w:val="32"/>
          <w:szCs w:val="32"/>
          <w:highlight w:val="none"/>
        </w:rPr>
        <w:t>项目名称：</w:t>
      </w:r>
      <w:r>
        <w:rPr>
          <w:rFonts w:hint="eastAsia" w:ascii="Arial" w:hAnsi="Arial" w:cs="Arial"/>
          <w:b/>
          <w:color w:val="000000"/>
          <w:sz w:val="32"/>
          <w:szCs w:val="32"/>
          <w:highlight w:val="none"/>
          <w:lang w:val="en-US" w:eastAsia="zh-CN"/>
        </w:rPr>
        <w:t>时堰镇、海陵南路、富安镇、安丰镇2025年政府专职消防队装备器材采购项目</w:t>
      </w:r>
    </w:p>
    <w:p w14:paraId="568EA975">
      <w:pPr>
        <w:pStyle w:val="8"/>
        <w:spacing w:before="120" w:beforeAutospacing="0" w:after="120" w:afterAutospacing="0" w:line="360" w:lineRule="auto"/>
        <w:jc w:val="both"/>
        <w:rPr>
          <w:highlight w:val="none"/>
        </w:rPr>
      </w:pPr>
    </w:p>
    <w:p w14:paraId="2DE7B564">
      <w:pPr>
        <w:pStyle w:val="8"/>
        <w:spacing w:before="120" w:beforeAutospacing="0" w:after="120" w:afterAutospacing="0" w:line="360" w:lineRule="auto"/>
        <w:jc w:val="both"/>
        <w:rPr>
          <w:highlight w:val="none"/>
        </w:rPr>
      </w:pPr>
      <w:r>
        <w:rPr>
          <w:rFonts w:ascii="Arial" w:hAnsi="Arial" w:cs="Arial"/>
          <w:b/>
          <w:color w:val="000000"/>
          <w:sz w:val="32"/>
          <w:szCs w:val="32"/>
          <w:highlight w:val="none"/>
        </w:rPr>
        <w:t>项目编号：</w:t>
      </w:r>
      <w:r>
        <w:rPr>
          <w:rFonts w:hint="eastAsia" w:ascii="Arial" w:hAnsi="Arial" w:cs="Arial"/>
          <w:b/>
          <w:color w:val="000000"/>
          <w:sz w:val="32"/>
          <w:szCs w:val="32"/>
          <w:highlight w:val="none"/>
        </w:rPr>
        <w:t>JSZC-320981-YCCZ-G2025-0026</w:t>
      </w:r>
    </w:p>
    <w:p w14:paraId="2926E52A">
      <w:pPr>
        <w:pStyle w:val="8"/>
        <w:spacing w:beforeAutospacing="0" w:afterAutospacing="0" w:line="360" w:lineRule="auto"/>
        <w:rPr>
          <w:highlight w:val="none"/>
        </w:rPr>
      </w:pPr>
      <w:r>
        <w:rPr>
          <w:highlight w:val="none"/>
        </w:rPr>
        <w:t> </w:t>
      </w:r>
    </w:p>
    <w:p w14:paraId="37D5E739">
      <w:pPr>
        <w:pStyle w:val="8"/>
        <w:spacing w:beforeAutospacing="0" w:afterAutospacing="0" w:line="360" w:lineRule="auto"/>
        <w:rPr>
          <w:highlight w:val="none"/>
        </w:rPr>
      </w:pPr>
      <w:r>
        <w:rPr>
          <w:highlight w:val="none"/>
        </w:rPr>
        <w:t> </w:t>
      </w:r>
    </w:p>
    <w:p w14:paraId="381EBCF8">
      <w:pPr>
        <w:pStyle w:val="8"/>
        <w:spacing w:beforeAutospacing="0" w:afterAutospacing="0" w:line="360" w:lineRule="auto"/>
        <w:rPr>
          <w:highlight w:val="none"/>
        </w:rPr>
      </w:pPr>
      <w:r>
        <w:rPr>
          <w:highlight w:val="none"/>
        </w:rPr>
        <w:t> </w:t>
      </w:r>
    </w:p>
    <w:p w14:paraId="3260F04D">
      <w:pPr>
        <w:pStyle w:val="8"/>
        <w:spacing w:beforeAutospacing="0" w:afterAutospacing="0" w:line="360" w:lineRule="auto"/>
        <w:rPr>
          <w:highlight w:val="none"/>
        </w:rPr>
      </w:pPr>
      <w:r>
        <w:rPr>
          <w:highlight w:val="none"/>
        </w:rPr>
        <w:t>  </w:t>
      </w:r>
    </w:p>
    <w:p w14:paraId="7B85D1C1">
      <w:pPr>
        <w:pStyle w:val="8"/>
        <w:spacing w:beforeAutospacing="0" w:afterAutospacing="0" w:line="360" w:lineRule="auto"/>
        <w:rPr>
          <w:highlight w:val="none"/>
        </w:rPr>
      </w:pPr>
      <w:r>
        <w:rPr>
          <w:highlight w:val="none"/>
        </w:rPr>
        <w:t> </w:t>
      </w:r>
    </w:p>
    <w:p w14:paraId="3DF7E29F">
      <w:pPr>
        <w:pStyle w:val="8"/>
        <w:spacing w:beforeAutospacing="0" w:afterAutospacing="0" w:line="360" w:lineRule="auto"/>
        <w:rPr>
          <w:highlight w:val="none"/>
        </w:rPr>
      </w:pPr>
      <w:r>
        <w:rPr>
          <w:highlight w:val="none"/>
        </w:rPr>
        <w:t> </w:t>
      </w:r>
    </w:p>
    <w:p w14:paraId="10505119">
      <w:pPr>
        <w:pStyle w:val="8"/>
        <w:spacing w:before="120" w:beforeAutospacing="0" w:after="120" w:afterAutospacing="0" w:line="360" w:lineRule="auto"/>
        <w:jc w:val="center"/>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lang w:val="en-US" w:eastAsia="zh-CN"/>
        </w:rPr>
        <w:t>东台市东台镇人民政府</w:t>
      </w:r>
    </w:p>
    <w:p w14:paraId="48DE62A8">
      <w:pPr>
        <w:pStyle w:val="8"/>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2025</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12</w:t>
      </w:r>
      <w:r>
        <w:rPr>
          <w:rFonts w:ascii="Arial" w:hAnsi="Arial" w:cs="Arial"/>
          <w:b/>
          <w:color w:val="000000"/>
          <w:sz w:val="32"/>
          <w:szCs w:val="32"/>
          <w:highlight w:val="none"/>
        </w:rPr>
        <w:t>月</w:t>
      </w:r>
    </w:p>
    <w:p w14:paraId="1A1FF07E">
      <w:pPr>
        <w:pStyle w:val="8"/>
        <w:spacing w:before="120" w:beforeAutospacing="0" w:after="120" w:afterAutospacing="0" w:line="360" w:lineRule="auto"/>
        <w:rPr>
          <w:highlight w:val="none"/>
        </w:rPr>
      </w:pPr>
      <w:r>
        <w:rPr>
          <w:rFonts w:ascii="Arial" w:hAnsi="Arial" w:cs="Arial"/>
          <w:color w:val="000000"/>
          <w:highlight w:val="none"/>
        </w:rPr>
        <w:t xml:space="preserve">                        </w:t>
      </w:r>
    </w:p>
    <w:p w14:paraId="6D9B04D7">
      <w:pPr>
        <w:pStyle w:val="8"/>
        <w:spacing w:before="120" w:beforeAutospacing="0" w:after="120" w:afterAutospacing="0" w:line="360" w:lineRule="auto"/>
        <w:jc w:val="center"/>
        <w:rPr>
          <w:highlight w:val="none"/>
        </w:rPr>
      </w:pPr>
      <w:r>
        <w:rPr>
          <w:highlight w:val="none"/>
        </w:rPr>
        <w:t> </w:t>
      </w:r>
    </w:p>
    <w:p w14:paraId="0E33B6DD">
      <w:pPr>
        <w:pStyle w:val="8"/>
        <w:spacing w:beforeAutospacing="0" w:afterAutospacing="0" w:line="480" w:lineRule="auto"/>
        <w:jc w:val="center"/>
        <w:rPr>
          <w:rFonts w:ascii="Times New Roman" w:hAnsi="Times New Roman"/>
          <w:color w:val="000000"/>
          <w:sz w:val="21"/>
          <w:szCs w:val="21"/>
          <w:highlight w:val="none"/>
        </w:rPr>
        <w:sectPr>
          <w:headerReference r:id="rId3" w:type="default"/>
          <w:footerReference r:id="rId4" w:type="default"/>
          <w:pgSz w:w="11906" w:h="16838"/>
          <w:pgMar w:top="1440" w:right="1800" w:bottom="1440" w:left="1800" w:header="851" w:footer="794" w:gutter="0"/>
          <w:pgBorders>
            <w:top w:val="none" w:sz="0" w:space="0"/>
            <w:left w:val="none" w:sz="0" w:space="0"/>
            <w:bottom w:val="none" w:sz="0" w:space="0"/>
            <w:right w:val="none" w:sz="0" w:space="0"/>
          </w:pgBorders>
          <w:pgNumType w:fmt="decimal" w:start="0"/>
          <w:cols w:space="425" w:num="1"/>
          <w:docGrid w:linePitch="360" w:charSpace="0"/>
        </w:sectPr>
      </w:pPr>
    </w:p>
    <w:p w14:paraId="1B0A0FCC">
      <w:pPr>
        <w:pStyle w:val="8"/>
        <w:spacing w:beforeAutospacing="0" w:afterAutospacing="0" w:line="480" w:lineRule="auto"/>
        <w:jc w:val="center"/>
        <w:rPr>
          <w:highlight w:val="none"/>
        </w:rPr>
      </w:pPr>
      <w:r>
        <w:rPr>
          <w:rFonts w:ascii="Times New Roman" w:hAnsi="Times New Roman"/>
          <w:color w:val="000000"/>
          <w:sz w:val="21"/>
          <w:szCs w:val="21"/>
          <w:highlight w:val="none"/>
        </w:rPr>
        <w:t> </w:t>
      </w:r>
      <w:bookmarkStart w:id="0" w:name="_Toc479757206"/>
      <w:bookmarkStart w:id="1" w:name="_Toc523127445"/>
      <w:bookmarkStart w:id="2" w:name="_Toc120614210"/>
      <w:bookmarkStart w:id="3" w:name="_Toc513029200"/>
      <w:bookmarkStart w:id="4" w:name="_Toc16938516"/>
      <w:bookmarkStart w:id="5" w:name="_Toc20823272"/>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24BB874F">
      <w:pPr>
        <w:pStyle w:val="8"/>
        <w:spacing w:beforeAutospacing="0" w:afterAutospacing="0" w:line="480" w:lineRule="auto"/>
        <w:jc w:val="both"/>
        <w:rPr>
          <w:highlight w:val="none"/>
        </w:rPr>
      </w:pPr>
      <w:r>
        <w:rPr>
          <w:highlight w:val="none"/>
        </w:rPr>
        <w:t> </w:t>
      </w:r>
    </w:p>
    <w:p w14:paraId="0BE109DC">
      <w:pPr>
        <w:pStyle w:val="8"/>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7C522B2E">
      <w:pPr>
        <w:pStyle w:val="8"/>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4B510CDE">
      <w:pPr>
        <w:pStyle w:val="8"/>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w:t>
      </w:r>
      <w:r>
        <w:rPr>
          <w:rFonts w:hint="eastAsia" w:ascii="黑体" w:hAnsi="宋体" w:eastAsia="黑体" w:cs="黑体"/>
          <w:color w:val="000000"/>
          <w:sz w:val="36"/>
          <w:szCs w:val="36"/>
          <w:highlight w:val="none"/>
          <w:lang w:eastAsia="zh-CN"/>
        </w:rPr>
        <w:t>条款</w:t>
      </w:r>
      <w:r>
        <w:rPr>
          <w:rFonts w:hint="eastAsia" w:ascii="黑体" w:hAnsi="宋体" w:eastAsia="黑体" w:cs="黑体"/>
          <w:color w:val="000000"/>
          <w:sz w:val="36"/>
          <w:szCs w:val="36"/>
          <w:highlight w:val="none"/>
        </w:rPr>
        <w:t>……………………………………</w:t>
      </w:r>
    </w:p>
    <w:p w14:paraId="35CAB5B5">
      <w:pPr>
        <w:pStyle w:val="8"/>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12FD980E">
      <w:pPr>
        <w:pStyle w:val="8"/>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15602893">
      <w:pPr>
        <w:pStyle w:val="8"/>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534DE13F">
      <w:pPr>
        <w:pStyle w:val="8"/>
        <w:spacing w:beforeAutospacing="0" w:afterAutospacing="0"/>
        <w:jc w:val="both"/>
        <w:rPr>
          <w:highlight w:val="none"/>
        </w:rPr>
      </w:pPr>
      <w:r>
        <w:rPr>
          <w:highlight w:val="none"/>
        </w:rPr>
        <w:t> </w:t>
      </w:r>
    </w:p>
    <w:p w14:paraId="5B3C47C5">
      <w:pPr>
        <w:pStyle w:val="8"/>
        <w:spacing w:beforeAutospacing="0" w:afterAutospacing="0"/>
        <w:jc w:val="both"/>
        <w:rPr>
          <w:highlight w:val="none"/>
        </w:rPr>
      </w:pPr>
      <w:r>
        <w:rPr>
          <w:highlight w:val="none"/>
        </w:rPr>
        <w:t> </w:t>
      </w:r>
    </w:p>
    <w:p w14:paraId="1026E6EC">
      <w:pPr>
        <w:pStyle w:val="8"/>
        <w:spacing w:beforeAutospacing="0" w:afterAutospacing="0"/>
        <w:jc w:val="both"/>
        <w:rPr>
          <w:highlight w:val="none"/>
        </w:rPr>
      </w:pPr>
      <w:r>
        <w:rPr>
          <w:highlight w:val="none"/>
        </w:rPr>
        <w:t> </w:t>
      </w:r>
    </w:p>
    <w:p w14:paraId="77EDD784">
      <w:pPr>
        <w:pStyle w:val="8"/>
        <w:spacing w:beforeAutospacing="0" w:afterAutospacing="0"/>
        <w:jc w:val="both"/>
        <w:rPr>
          <w:highlight w:val="none"/>
        </w:rPr>
      </w:pPr>
      <w:r>
        <w:rPr>
          <w:highlight w:val="none"/>
        </w:rPr>
        <w:t> </w:t>
      </w:r>
    </w:p>
    <w:p w14:paraId="0CEF2CA3">
      <w:pPr>
        <w:pStyle w:val="8"/>
        <w:spacing w:beforeAutospacing="0" w:afterAutospacing="0"/>
        <w:jc w:val="both"/>
        <w:rPr>
          <w:highlight w:val="none"/>
        </w:rPr>
      </w:pPr>
      <w:r>
        <w:rPr>
          <w:highlight w:val="none"/>
        </w:rPr>
        <w:t> </w:t>
      </w:r>
    </w:p>
    <w:p w14:paraId="199834B7">
      <w:pPr>
        <w:pStyle w:val="8"/>
        <w:spacing w:beforeAutospacing="0" w:afterAutospacing="0"/>
        <w:jc w:val="both"/>
        <w:rPr>
          <w:highlight w:val="none"/>
        </w:rPr>
      </w:pPr>
      <w:r>
        <w:rPr>
          <w:highlight w:val="none"/>
        </w:rPr>
        <w:t> </w:t>
      </w:r>
    </w:p>
    <w:p w14:paraId="5973B429">
      <w:pPr>
        <w:pStyle w:val="8"/>
        <w:spacing w:beforeAutospacing="0" w:afterAutospacing="0"/>
        <w:jc w:val="both"/>
        <w:rPr>
          <w:highlight w:val="none"/>
        </w:rPr>
      </w:pPr>
      <w:r>
        <w:rPr>
          <w:highlight w:val="none"/>
        </w:rPr>
        <w:t> </w:t>
      </w:r>
    </w:p>
    <w:p w14:paraId="002C7EB7">
      <w:pPr>
        <w:pStyle w:val="8"/>
        <w:spacing w:beforeAutospacing="0" w:afterAutospacing="0"/>
        <w:jc w:val="both"/>
        <w:rPr>
          <w:highlight w:val="none"/>
        </w:rPr>
      </w:pPr>
      <w:r>
        <w:rPr>
          <w:highlight w:val="none"/>
        </w:rPr>
        <w:t> </w:t>
      </w:r>
    </w:p>
    <w:p w14:paraId="4F9CAB0B">
      <w:pPr>
        <w:pStyle w:val="8"/>
        <w:spacing w:beforeAutospacing="0" w:afterAutospacing="0"/>
        <w:jc w:val="both"/>
        <w:rPr>
          <w:highlight w:val="none"/>
        </w:rPr>
      </w:pPr>
      <w:r>
        <w:rPr>
          <w:highlight w:val="none"/>
        </w:rPr>
        <w:t> </w:t>
      </w:r>
    </w:p>
    <w:p w14:paraId="2E059227">
      <w:pPr>
        <w:pStyle w:val="8"/>
        <w:spacing w:beforeAutospacing="0" w:afterAutospacing="0"/>
        <w:jc w:val="both"/>
        <w:rPr>
          <w:highlight w:val="none"/>
        </w:rPr>
      </w:pPr>
      <w:r>
        <w:rPr>
          <w:highlight w:val="none"/>
        </w:rPr>
        <w:t> </w:t>
      </w:r>
    </w:p>
    <w:p w14:paraId="377E3A45">
      <w:pPr>
        <w:pStyle w:val="8"/>
        <w:spacing w:beforeAutospacing="0" w:afterAutospacing="0"/>
        <w:jc w:val="both"/>
        <w:rPr>
          <w:highlight w:val="none"/>
        </w:rPr>
      </w:pPr>
      <w:r>
        <w:rPr>
          <w:highlight w:val="none"/>
        </w:rPr>
        <w:t> </w:t>
      </w:r>
    </w:p>
    <w:p w14:paraId="0902FF10">
      <w:pPr>
        <w:pStyle w:val="8"/>
        <w:spacing w:beforeAutospacing="0" w:afterAutospacing="0"/>
        <w:jc w:val="both"/>
        <w:rPr>
          <w:highlight w:val="none"/>
        </w:rPr>
      </w:pPr>
      <w:r>
        <w:rPr>
          <w:highlight w:val="none"/>
        </w:rPr>
        <w:t> </w:t>
      </w:r>
    </w:p>
    <w:p w14:paraId="6551063F">
      <w:pPr>
        <w:pStyle w:val="8"/>
        <w:spacing w:beforeAutospacing="0" w:afterAutospacing="0"/>
        <w:jc w:val="both"/>
        <w:rPr>
          <w:highlight w:val="none"/>
        </w:rPr>
      </w:pPr>
      <w:r>
        <w:rPr>
          <w:highlight w:val="none"/>
        </w:rPr>
        <w:t> </w:t>
      </w:r>
    </w:p>
    <w:p w14:paraId="191BFA28">
      <w:pPr>
        <w:pStyle w:val="8"/>
        <w:spacing w:beforeAutospacing="0" w:afterAutospacing="0"/>
        <w:jc w:val="both"/>
        <w:rPr>
          <w:highlight w:val="none"/>
        </w:rPr>
      </w:pPr>
      <w:r>
        <w:rPr>
          <w:highlight w:val="none"/>
        </w:rPr>
        <w:t> </w:t>
      </w:r>
    </w:p>
    <w:p w14:paraId="2C46ADC8">
      <w:pPr>
        <w:pStyle w:val="8"/>
        <w:spacing w:beforeAutospacing="0" w:afterAutospacing="0"/>
        <w:jc w:val="both"/>
        <w:rPr>
          <w:highlight w:val="none"/>
        </w:rPr>
      </w:pPr>
      <w:r>
        <w:rPr>
          <w:highlight w:val="none"/>
        </w:rPr>
        <w:t> </w:t>
      </w:r>
    </w:p>
    <w:p w14:paraId="2900AB90">
      <w:pPr>
        <w:pStyle w:val="8"/>
        <w:spacing w:beforeAutospacing="0" w:afterAutospacing="0"/>
        <w:jc w:val="both"/>
        <w:rPr>
          <w:highlight w:val="none"/>
        </w:rPr>
      </w:pPr>
      <w:r>
        <w:rPr>
          <w:highlight w:val="none"/>
        </w:rPr>
        <w:t> </w:t>
      </w:r>
    </w:p>
    <w:p w14:paraId="60DE5FF6">
      <w:pPr>
        <w:pStyle w:val="8"/>
        <w:spacing w:beforeAutospacing="0" w:afterAutospacing="0"/>
        <w:jc w:val="both"/>
        <w:rPr>
          <w:highlight w:val="none"/>
        </w:rPr>
      </w:pPr>
      <w:r>
        <w:rPr>
          <w:highlight w:val="none"/>
        </w:rPr>
        <w:t> </w:t>
      </w:r>
    </w:p>
    <w:p w14:paraId="4B476BA0">
      <w:pPr>
        <w:pStyle w:val="8"/>
        <w:spacing w:beforeAutospacing="0" w:afterAutospacing="0"/>
        <w:jc w:val="both"/>
        <w:rPr>
          <w:highlight w:val="none"/>
        </w:rPr>
      </w:pPr>
      <w:r>
        <w:rPr>
          <w:highlight w:val="none"/>
        </w:rPr>
        <w:t> </w:t>
      </w:r>
    </w:p>
    <w:p w14:paraId="66234C8E">
      <w:pPr>
        <w:pStyle w:val="8"/>
        <w:spacing w:beforeAutospacing="0" w:afterAutospacing="0"/>
        <w:jc w:val="both"/>
        <w:rPr>
          <w:highlight w:val="none"/>
        </w:rPr>
      </w:pPr>
      <w:r>
        <w:rPr>
          <w:highlight w:val="none"/>
        </w:rPr>
        <w:t> </w:t>
      </w:r>
    </w:p>
    <w:p w14:paraId="43F4AD00">
      <w:pPr>
        <w:pStyle w:val="8"/>
        <w:spacing w:beforeAutospacing="0" w:afterAutospacing="0"/>
        <w:jc w:val="both"/>
        <w:rPr>
          <w:highlight w:val="none"/>
        </w:rPr>
      </w:pPr>
      <w:r>
        <w:rPr>
          <w:highlight w:val="none"/>
        </w:rPr>
        <w:t> </w:t>
      </w:r>
    </w:p>
    <w:p w14:paraId="19406DE9">
      <w:pPr>
        <w:pStyle w:val="8"/>
        <w:spacing w:beforeAutospacing="0" w:afterAutospacing="0"/>
        <w:jc w:val="both"/>
        <w:rPr>
          <w:highlight w:val="none"/>
        </w:rPr>
      </w:pPr>
      <w:r>
        <w:rPr>
          <w:highlight w:val="none"/>
        </w:rPr>
        <w:t> </w:t>
      </w:r>
    </w:p>
    <w:p w14:paraId="7B213257">
      <w:pPr>
        <w:pStyle w:val="8"/>
        <w:spacing w:beforeAutospacing="0" w:afterAutospacing="0"/>
        <w:jc w:val="both"/>
        <w:rPr>
          <w:highlight w:val="none"/>
        </w:rPr>
      </w:pPr>
      <w:r>
        <w:rPr>
          <w:highlight w:val="none"/>
        </w:rPr>
        <w:t> </w:t>
      </w:r>
    </w:p>
    <w:p w14:paraId="746F8DFD">
      <w:pPr>
        <w:pStyle w:val="8"/>
        <w:keepNext w:val="0"/>
        <w:keepLines w:val="0"/>
        <w:pageBreakBefore w:val="0"/>
        <w:widowControl w:val="0"/>
        <w:kinsoku/>
        <w:wordWrap/>
        <w:overflowPunct/>
        <w:topLinePunct w:val="0"/>
        <w:autoSpaceDE/>
        <w:autoSpaceDN/>
        <w:bidi w:val="0"/>
        <w:adjustRightInd/>
        <w:snapToGrid/>
        <w:spacing w:beforeAutospacing="0" w:after="181" w:afterLines="50" w:afterAutospacing="0"/>
        <w:jc w:val="center"/>
        <w:textAlignment w:val="auto"/>
        <w:rPr>
          <w:rFonts w:hint="default" w:eastAsia="黑体"/>
          <w:highlight w:val="none"/>
          <w:lang w:val="en-US" w:eastAsia="zh-CN"/>
        </w:rPr>
      </w:pPr>
      <w:bookmarkStart w:id="6" w:name="_Toc28359086"/>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179DC6FF">
      <w:pPr>
        <w:pStyle w:val="8"/>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6B0F6ADA">
      <w:pPr>
        <w:pStyle w:val="8"/>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val="en-US" w:eastAsia="zh-CN"/>
        </w:rPr>
        <w:t>时堰镇、海陵南路、富安镇、安丰镇2025年政府专职消防队装备器材采购项目</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1</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14</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05033C3B">
      <w:pPr>
        <w:pStyle w:val="8"/>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bookmarkStart w:id="7" w:name="_Toc28359079"/>
      <w:bookmarkStart w:id="8" w:name="_Toc38985263"/>
      <w:bookmarkStart w:id="9" w:name="_Toc35393790"/>
      <w:bookmarkStart w:id="10" w:name="_Hlk24379207"/>
      <w:bookmarkStart w:id="11" w:name="_Toc35393621"/>
      <w:bookmarkStart w:id="12" w:name="_Toc28359002"/>
      <w:r>
        <w:rPr>
          <w:rFonts w:hint="eastAsia" w:ascii="宋体" w:hAnsi="宋体" w:eastAsia="宋体" w:cs="宋体"/>
          <w:b/>
          <w:color w:val="000000"/>
          <w:sz w:val="24"/>
          <w:szCs w:val="24"/>
          <w:highlight w:val="none"/>
        </w:rPr>
        <w:t>一、项目基本情况</w:t>
      </w:r>
      <w:bookmarkEnd w:id="7"/>
      <w:bookmarkEnd w:id="8"/>
      <w:bookmarkEnd w:id="9"/>
      <w:bookmarkEnd w:id="10"/>
      <w:bookmarkEnd w:id="11"/>
      <w:bookmarkEnd w:id="12"/>
    </w:p>
    <w:p w14:paraId="39610826">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rPr>
      </w:pPr>
      <w:r>
        <w:rPr>
          <w:rFonts w:hint="eastAsia" w:ascii="宋体" w:hAnsi="宋体" w:eastAsia="宋体" w:cs="宋体"/>
          <w:i w:val="0"/>
          <w:iCs w:val="0"/>
          <w:caps w:val="0"/>
          <w:color w:val="333333"/>
          <w:spacing w:val="0"/>
          <w:sz w:val="24"/>
          <w:szCs w:val="24"/>
          <w:highlight w:val="none"/>
          <w:shd w:val="clear" w:fill="FFFFFF"/>
        </w:rPr>
        <w:t>1.项目编号：JSZC-320981-YCCZ-G2025-0026</w:t>
      </w:r>
    </w:p>
    <w:p w14:paraId="4B58244C">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2.项</w:t>
      </w:r>
      <w:r>
        <w:rPr>
          <w:rFonts w:hint="eastAsia" w:ascii="宋体" w:hAnsi="宋体" w:eastAsia="宋体" w:cs="宋体"/>
          <w:color w:val="000000"/>
          <w:sz w:val="24"/>
          <w:szCs w:val="24"/>
          <w:highlight w:val="none"/>
          <w:shd w:val="clear" w:color="auto" w:fill="auto"/>
        </w:rPr>
        <w:t>目名称：</w:t>
      </w:r>
      <w:r>
        <w:rPr>
          <w:rFonts w:hint="eastAsia" w:ascii="宋体" w:hAnsi="宋体" w:eastAsia="宋体" w:cs="宋体"/>
          <w:color w:val="000000"/>
          <w:sz w:val="24"/>
          <w:szCs w:val="24"/>
          <w:highlight w:val="none"/>
          <w:shd w:val="clear" w:color="auto" w:fill="auto"/>
          <w:lang w:val="en-US" w:eastAsia="zh-CN"/>
        </w:rPr>
        <w:t>时堰镇、海陵南路、富安镇、安丰镇2025年政府专职消防队装备器材采购项目</w:t>
      </w:r>
    </w:p>
    <w:p w14:paraId="73A52534">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64691F6D">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400.00万元</w:t>
      </w:r>
    </w:p>
    <w:p w14:paraId="7C279CB3">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FFFFFF" w:fill="D9D9D9"/>
          <w:lang w:val="en-US"/>
        </w:rPr>
      </w:pPr>
      <w:r>
        <w:rPr>
          <w:rFonts w:hint="eastAsia" w:ascii="宋体" w:hAnsi="宋体" w:eastAsia="宋体" w:cs="宋体"/>
          <w:i w:val="0"/>
          <w:iCs w:val="0"/>
          <w:caps w:val="0"/>
          <w:color w:val="333333"/>
          <w:spacing w:val="0"/>
          <w:sz w:val="24"/>
          <w:szCs w:val="24"/>
          <w:highlight w:val="none"/>
          <w:shd w:val="clear" w:fill="FFFFFF"/>
          <w:lang w:val="en-US" w:eastAsia="zh-CN"/>
        </w:rPr>
        <w:t>5.</w:t>
      </w:r>
      <w:r>
        <w:rPr>
          <w:rFonts w:hint="eastAsia" w:ascii="宋体" w:hAnsi="宋体" w:eastAsia="宋体" w:cs="宋体"/>
          <w:i w:val="0"/>
          <w:iCs w:val="0"/>
          <w:caps w:val="0"/>
          <w:color w:val="333333"/>
          <w:spacing w:val="0"/>
          <w:sz w:val="24"/>
          <w:szCs w:val="24"/>
          <w:highlight w:val="none"/>
          <w:shd w:val="clear" w:fill="FFFFFF"/>
        </w:rPr>
        <w:t>最高限价（如有）：</w:t>
      </w:r>
      <w:r>
        <w:rPr>
          <w:rFonts w:hint="eastAsia" w:ascii="宋体" w:hAnsi="宋体" w:eastAsia="宋体" w:cs="宋体"/>
          <w:i w:val="0"/>
          <w:iCs w:val="0"/>
          <w:caps w:val="0"/>
          <w:color w:val="333333"/>
          <w:spacing w:val="0"/>
          <w:sz w:val="24"/>
          <w:szCs w:val="24"/>
          <w:highlight w:val="none"/>
          <w:shd w:val="clear" w:fill="FFFFFF"/>
          <w:lang w:eastAsia="zh-CN"/>
        </w:rPr>
        <w:t>包</w:t>
      </w:r>
      <w:r>
        <w:rPr>
          <w:rFonts w:hint="eastAsia" w:ascii="宋体" w:hAnsi="宋体" w:eastAsia="宋体" w:cs="宋体"/>
          <w:i w:val="0"/>
          <w:iCs w:val="0"/>
          <w:caps w:val="0"/>
          <w:color w:val="333333"/>
          <w:spacing w:val="0"/>
          <w:sz w:val="24"/>
          <w:szCs w:val="24"/>
          <w:highlight w:val="none"/>
          <w:shd w:val="clear" w:fill="FFFFFF"/>
          <w:lang w:val="en-US" w:eastAsia="zh-CN"/>
        </w:rPr>
        <w:t>1：35.292万元；包2：26.02万元；包3：21.736万元；包4：20.16万元；包5：26.1万元；包6：44.654万元；包7：26.44万元：8包：150万元；包9：44.2万元</w:t>
      </w:r>
    </w:p>
    <w:p w14:paraId="5900C76D">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6</w:t>
      </w:r>
      <w:r>
        <w:rPr>
          <w:rFonts w:hint="eastAsia" w:ascii="宋体" w:hAnsi="宋体" w:eastAsia="宋体" w:cs="宋体"/>
          <w:color w:val="000000"/>
          <w:sz w:val="24"/>
          <w:szCs w:val="24"/>
          <w:highlight w:val="none"/>
          <w:shd w:val="clear" w:color="auto" w:fill="auto"/>
        </w:rPr>
        <w:t>.采购需求（简介）</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lang w:val="en-US" w:eastAsia="zh-CN"/>
        </w:rPr>
        <w:t>时堰镇、海陵南路、富安镇、安丰镇2025年政府专职消防队装备器材采购。本项目分为9个包</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color w:val="000000"/>
          <w:sz w:val="24"/>
          <w:szCs w:val="24"/>
          <w:highlight w:val="none"/>
          <w:shd w:val="clear" w:color="auto" w:fill="auto"/>
        </w:rPr>
        <w:t>详</w:t>
      </w:r>
      <w:r>
        <w:rPr>
          <w:rFonts w:hint="eastAsia" w:ascii="宋体" w:hAnsi="宋体" w:eastAsia="宋体" w:cs="宋体"/>
          <w:color w:val="000000"/>
          <w:sz w:val="24"/>
          <w:szCs w:val="24"/>
          <w:highlight w:val="none"/>
        </w:rPr>
        <w:t>细内容见本</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r>
        <w:rPr>
          <w:rFonts w:hint="eastAsia" w:ascii="宋体" w:hAnsi="宋体" w:eastAsia="宋体" w:cs="宋体"/>
          <w:color w:val="000000"/>
          <w:sz w:val="24"/>
          <w:szCs w:val="24"/>
          <w:highlight w:val="none"/>
          <w:lang w:eastAsia="zh-CN"/>
        </w:rPr>
        <w:t>。</w:t>
      </w:r>
    </w:p>
    <w:p w14:paraId="26A20146">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.合同履行期限：合同签订后</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rPr>
        <w:t>日历天内货物全部送达招标人指定位置且安装、调试完毕，并确保正常稳定运行</w:t>
      </w:r>
      <w:r>
        <w:rPr>
          <w:rFonts w:hint="eastAsia" w:ascii="宋体" w:hAnsi="宋体" w:eastAsia="宋体" w:cs="宋体"/>
          <w:color w:val="000000"/>
          <w:sz w:val="24"/>
          <w:szCs w:val="24"/>
          <w:highlight w:val="none"/>
          <w:lang w:eastAsia="zh-CN"/>
        </w:rPr>
        <w:t>。</w:t>
      </w:r>
    </w:p>
    <w:p w14:paraId="7025A5E0">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fill="FFFFFF"/>
          <w:lang w:val="en-US" w:eastAsia="zh-CN"/>
        </w:rPr>
        <w:t>8.</w:t>
      </w:r>
      <w:r>
        <w:rPr>
          <w:rFonts w:hint="eastAsia" w:ascii="宋体" w:hAnsi="宋体" w:eastAsia="宋体" w:cs="宋体"/>
          <w:color w:val="333333"/>
          <w:szCs w:val="28"/>
          <w:shd w:val="clear" w:color="auto" w:fill="FFFFFF"/>
        </w:rPr>
        <w:t>本项目（</w:t>
      </w:r>
      <w:r>
        <w:rPr>
          <w:rFonts w:hint="eastAsia" w:ascii="宋体" w:hAnsi="宋体" w:eastAsia="宋体" w:cs="宋体"/>
          <w:i/>
          <w:iCs/>
          <w:color w:val="333333"/>
          <w:szCs w:val="28"/>
          <w:shd w:val="clear" w:color="auto" w:fill="FFFFFF"/>
        </w:rPr>
        <w:t>是/否</w:t>
      </w:r>
      <w:r>
        <w:rPr>
          <w:rFonts w:hint="eastAsia" w:ascii="宋体" w:hAnsi="宋体" w:eastAsia="宋体" w:cs="宋体"/>
          <w:color w:val="333333"/>
          <w:szCs w:val="28"/>
          <w:shd w:val="clear" w:color="auto" w:fill="FFFFFF"/>
        </w:rPr>
        <w:t>）接受联合体</w:t>
      </w:r>
      <w:r>
        <w:rPr>
          <w:rFonts w:hint="eastAsia" w:ascii="宋体" w:hAnsi="宋体" w:eastAsia="宋体" w:cs="宋体"/>
          <w:color w:val="000000"/>
          <w:szCs w:val="28"/>
        </w:rPr>
        <w:t>参与招标：否</w:t>
      </w:r>
    </w:p>
    <w:p w14:paraId="12CB8E2C">
      <w:pPr>
        <w:pStyle w:val="8"/>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bookmarkStart w:id="13" w:name="_Toc35393791"/>
      <w:bookmarkStart w:id="14" w:name="_Toc28359080"/>
      <w:bookmarkStart w:id="15" w:name="_Toc35393622"/>
      <w:bookmarkStart w:id="16" w:name="_Toc38985264"/>
      <w:bookmarkStart w:id="17" w:name="_Toc28359003"/>
      <w:r>
        <w:rPr>
          <w:rFonts w:hint="eastAsia" w:ascii="宋体" w:hAnsi="宋体" w:eastAsia="宋体" w:cs="宋体"/>
          <w:b/>
          <w:color w:val="000000"/>
          <w:sz w:val="24"/>
          <w:szCs w:val="24"/>
          <w:highlight w:val="none"/>
        </w:rPr>
        <w:t>二、申请人的资格要求：</w:t>
      </w:r>
      <w:bookmarkEnd w:id="13"/>
      <w:bookmarkEnd w:id="14"/>
      <w:bookmarkEnd w:id="15"/>
      <w:bookmarkEnd w:id="16"/>
      <w:bookmarkEnd w:id="17"/>
    </w:p>
    <w:p w14:paraId="59C84FF1">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43076593">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44CA941E">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（成立不满一年无需提供）；</w:t>
      </w:r>
    </w:p>
    <w:p w14:paraId="27407C78">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17BD4C33">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648F0528">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43C342D9">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5BFD7531">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8BF9B61">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w:t>
      </w:r>
      <w:r>
        <w:rPr>
          <w:rFonts w:hint="eastAsia" w:ascii="宋体" w:hAnsi="宋体" w:eastAsia="宋体" w:cs="宋体"/>
          <w:color w:val="000000"/>
          <w:sz w:val="24"/>
          <w:szCs w:val="24"/>
          <w:highlight w:val="none"/>
          <w:shd w:val="clear" w:color="auto" w:fill="auto"/>
        </w:rPr>
        <w:t>商，不得参加同一合同项下的政府采购活动。</w:t>
      </w:r>
    </w:p>
    <w:p w14:paraId="0DEDBFDE">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2</w:t>
      </w:r>
      <w:r>
        <w:rPr>
          <w:rFonts w:hint="eastAsia" w:ascii="宋体" w:hAnsi="宋体" w:eastAsia="宋体" w:cs="宋体"/>
          <w:color w:val="000000"/>
          <w:sz w:val="24"/>
          <w:szCs w:val="24"/>
          <w:highlight w:val="none"/>
          <w:shd w:val="clear" w:color="auto" w:fill="auto"/>
          <w:lang w:val="en-US" w:eastAsia="zh-CN"/>
        </w:rPr>
        <w:t>.</w:t>
      </w:r>
      <w:r>
        <w:rPr>
          <w:rFonts w:hint="eastAsia" w:ascii="宋体" w:hAnsi="宋体" w:eastAsia="宋体" w:cs="宋体"/>
          <w:color w:val="000000"/>
          <w:sz w:val="24"/>
          <w:szCs w:val="24"/>
          <w:highlight w:val="none"/>
          <w:shd w:val="clear" w:color="auto" w:fill="auto"/>
        </w:rPr>
        <w:t>落实政府采购政策需满足的资格要求：无。</w:t>
      </w:r>
    </w:p>
    <w:p w14:paraId="7D1106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val="en-US" w:eastAsia="zh-CN"/>
        </w:rPr>
        <w:t>3.</w:t>
      </w:r>
      <w:r>
        <w:rPr>
          <w:rFonts w:hint="eastAsia" w:ascii="宋体" w:hAnsi="宋体" w:eastAsia="宋体" w:cs="宋体"/>
          <w:color w:val="000000"/>
          <w:sz w:val="24"/>
          <w:szCs w:val="24"/>
          <w:highlight w:val="none"/>
          <w:shd w:val="clear" w:color="auto" w:fill="auto"/>
        </w:rPr>
        <w:t>本项目的特定资格要求</w:t>
      </w:r>
      <w:r>
        <w:rPr>
          <w:rFonts w:hint="eastAsia" w:ascii="宋体" w:hAnsi="宋体" w:eastAsia="宋体" w:cs="宋体"/>
          <w:color w:val="000000"/>
          <w:sz w:val="24"/>
          <w:szCs w:val="24"/>
          <w:highlight w:val="none"/>
          <w:shd w:val="clear" w:color="auto" w:fill="auto"/>
          <w:lang w:eastAsia="zh-CN"/>
        </w:rPr>
        <w:t>：</w:t>
      </w:r>
      <w:r>
        <w:rPr>
          <w:rFonts w:hint="eastAsia" w:ascii="宋体" w:hAnsi="宋体" w:eastAsia="宋体" w:cs="宋体"/>
          <w:i w:val="0"/>
          <w:iCs w:val="0"/>
          <w:caps w:val="0"/>
          <w:color w:val="333333"/>
          <w:spacing w:val="0"/>
          <w:sz w:val="24"/>
          <w:szCs w:val="24"/>
          <w:highlight w:val="none"/>
          <w:u w:val="single"/>
          <w:shd w:val="clear" w:color="auto" w:fill="auto"/>
        </w:rPr>
        <w:t>投标人如委托被授权人参与，则被授权人须为本单位正式职工并提供投标人近期为被授权人缴纳的社会养老保险证明</w:t>
      </w:r>
      <w:r>
        <w:rPr>
          <w:rFonts w:hint="eastAsia" w:ascii="宋体" w:hAnsi="宋体" w:eastAsia="宋体" w:cs="宋体"/>
          <w:i w:val="0"/>
          <w:iCs w:val="0"/>
          <w:caps w:val="0"/>
          <w:color w:val="333333"/>
          <w:spacing w:val="0"/>
          <w:sz w:val="24"/>
          <w:szCs w:val="24"/>
          <w:highlight w:val="none"/>
          <w:u w:val="none"/>
          <w:shd w:val="clear" w:color="auto" w:fill="auto"/>
          <w:lang w:eastAsia="zh-CN"/>
        </w:rPr>
        <w:t>。</w:t>
      </w:r>
    </w:p>
    <w:p w14:paraId="32F0CB21">
      <w:pPr>
        <w:pStyle w:val="8"/>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三、获取招标文件</w:t>
      </w:r>
    </w:p>
    <w:p w14:paraId="1CD06B1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rPr>
      </w:pPr>
      <w:bookmarkStart w:id="18" w:name="_Toc35393624"/>
      <w:bookmarkStart w:id="19" w:name="_Toc28359082"/>
      <w:bookmarkStart w:id="20" w:name="_Toc28359005"/>
      <w:bookmarkStart w:id="21" w:name="_Toc38985266"/>
      <w:bookmarkStart w:id="22" w:name="_Toc35393793"/>
      <w:r>
        <w:rPr>
          <w:rFonts w:hint="eastAsia" w:ascii="宋体" w:hAnsi="宋体" w:eastAsia="宋体" w:cs="宋体"/>
          <w:color w:val="000000"/>
          <w:sz w:val="24"/>
          <w:szCs w:val="24"/>
          <w:highlight w:val="none"/>
          <w:shd w:val="clear" w:color="auto" w:fill="auto"/>
        </w:rPr>
        <w:t>1.时间：</w:t>
      </w:r>
      <w:bookmarkEnd w:id="18"/>
      <w:bookmarkEnd w:id="19"/>
      <w:bookmarkEnd w:id="20"/>
      <w:bookmarkEnd w:id="21"/>
      <w:bookmarkEnd w:id="22"/>
      <w:r>
        <w:rPr>
          <w:rFonts w:hint="eastAsia" w:ascii="宋体" w:hAnsi="宋体" w:eastAsia="宋体" w:cs="宋体"/>
          <w:color w:val="000000"/>
          <w:sz w:val="24"/>
          <w:szCs w:val="24"/>
          <w:highlight w:val="none"/>
          <w:shd w:val="clear" w:color="auto" w:fill="auto"/>
        </w:rPr>
        <w:t>自招标文件公告发布之日起5个工作日 。</w:t>
      </w:r>
    </w:p>
    <w:p w14:paraId="3FE7E4A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shd w:val="clear" w:color="auto" w:fill="auto"/>
          <w:lang w:val="en-US" w:eastAsia="zh-CN" w:bidi="ar-SA"/>
        </w:rPr>
      </w:pPr>
      <w:r>
        <w:rPr>
          <w:rFonts w:hint="eastAsia" w:ascii="宋体" w:hAnsi="宋体" w:eastAsia="宋体" w:cs="宋体"/>
          <w:color w:val="000000"/>
          <w:kern w:val="0"/>
          <w:sz w:val="24"/>
          <w:szCs w:val="24"/>
          <w:highlight w:val="none"/>
          <w:shd w:val="clear" w:color="auto" w:fill="auto"/>
          <w:lang w:val="en-US" w:eastAsia="zh-CN" w:bidi="ar-SA"/>
        </w:rPr>
        <w:t>2.地点：“苏采云”系统内免费下载（投标人必须在苏采云系统中获取采购文件，方能参与政府采购项目）；</w:t>
      </w:r>
    </w:p>
    <w:p w14:paraId="1CD7F0E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p>
    <w:p w14:paraId="2707C1A2">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4.售价：0元</w:t>
      </w:r>
    </w:p>
    <w:p w14:paraId="5C0B4A98">
      <w:pPr>
        <w:pStyle w:val="8"/>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四、提交投标文件截止时间、开标时间和地点</w:t>
      </w:r>
    </w:p>
    <w:p w14:paraId="572AE98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2026</w:t>
      </w:r>
      <w:r>
        <w:rPr>
          <w:rFonts w:hint="eastAsia" w:ascii="宋体" w:hAnsi="宋体" w:eastAsia="宋体" w:cs="宋体"/>
          <w:i w:val="0"/>
          <w:iCs w:val="0"/>
          <w:caps w:val="0"/>
          <w:color w:val="333333"/>
          <w:spacing w:val="0"/>
          <w:sz w:val="24"/>
          <w:szCs w:val="24"/>
          <w:highlight w:val="none"/>
          <w:u w:val="single"/>
          <w:shd w:val="clear" w:color="auto" w:fill="auto"/>
        </w:rPr>
        <w:t>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1</w:t>
      </w:r>
      <w:r>
        <w:rPr>
          <w:rFonts w:hint="eastAsia" w:ascii="宋体" w:hAnsi="宋体" w:eastAsia="宋体" w:cs="宋体"/>
          <w:i w:val="0"/>
          <w:iCs w:val="0"/>
          <w:caps w:val="0"/>
          <w:color w:val="333333"/>
          <w:spacing w:val="0"/>
          <w:sz w:val="24"/>
          <w:szCs w:val="24"/>
          <w:highlight w:val="none"/>
          <w:u w:val="single"/>
          <w:shd w:val="clear" w:color="auto" w:fill="auto"/>
        </w:rPr>
        <w:t>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6</w:t>
      </w:r>
      <w:r>
        <w:rPr>
          <w:rFonts w:hint="eastAsia" w:ascii="宋体" w:hAnsi="宋体" w:eastAsia="宋体" w:cs="宋体"/>
          <w:i w:val="0"/>
          <w:iCs w:val="0"/>
          <w:caps w:val="0"/>
          <w:color w:val="333333"/>
          <w:spacing w:val="0"/>
          <w:sz w:val="24"/>
          <w:szCs w:val="24"/>
          <w:highlight w:val="none"/>
          <w:u w:val="single"/>
          <w:shd w:val="clear" w:color="auto" w:fill="auto"/>
        </w:rPr>
        <w:t>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14时30分</w:t>
      </w:r>
      <w:r>
        <w:rPr>
          <w:rFonts w:hint="eastAsia" w:ascii="宋体" w:hAnsi="宋体" w:eastAsia="宋体" w:cs="宋体"/>
          <w:color w:val="000000"/>
          <w:sz w:val="24"/>
          <w:szCs w:val="24"/>
          <w:highlight w:val="none"/>
          <w:shd w:val="clear" w:color="auto" w:fill="auto"/>
        </w:rPr>
        <w:t>（北京时间）</w:t>
      </w:r>
    </w:p>
    <w:p w14:paraId="077143D5">
      <w:pPr>
        <w:pStyle w:val="8"/>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w:t>
      </w:r>
    </w:p>
    <w:p w14:paraId="4B81A46E">
      <w:pPr>
        <w:pStyle w:val="8"/>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bookmarkStart w:id="23" w:name="_Toc28359007"/>
      <w:bookmarkStart w:id="24" w:name="_Toc38985267"/>
      <w:bookmarkStart w:id="25" w:name="_Toc35393794"/>
      <w:bookmarkStart w:id="26" w:name="_Toc28359084"/>
      <w:bookmarkStart w:id="27" w:name="_Toc35393625"/>
      <w:r>
        <w:rPr>
          <w:rFonts w:hint="eastAsia" w:ascii="宋体" w:hAnsi="宋体" w:eastAsia="宋体" w:cs="宋体"/>
          <w:b/>
          <w:color w:val="000000"/>
          <w:sz w:val="24"/>
          <w:szCs w:val="24"/>
          <w:highlight w:val="none"/>
        </w:rPr>
        <w:t>五、公告期限</w:t>
      </w:r>
      <w:bookmarkEnd w:id="23"/>
      <w:bookmarkEnd w:id="24"/>
      <w:bookmarkEnd w:id="25"/>
      <w:bookmarkEnd w:id="26"/>
      <w:bookmarkEnd w:id="27"/>
    </w:p>
    <w:p w14:paraId="7C612B2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8" w:name="_Toc35393626"/>
      <w:bookmarkStart w:id="29" w:name="_Toc35393795"/>
      <w:bookmarkStart w:id="30" w:name="_Toc38985268"/>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8"/>
      <w:bookmarkEnd w:id="29"/>
      <w:bookmarkEnd w:id="30"/>
    </w:p>
    <w:p w14:paraId="7A54455B">
      <w:pPr>
        <w:pStyle w:val="8"/>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788D01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1"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365050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C04DD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p>
    <w:p w14:paraId="636817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5A6F8E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p>
    <w:p w14:paraId="0F939AD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p>
    <w:p w14:paraId="70759E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p>
    <w:p w14:paraId="170CF67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03109DF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6EE3D9D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p>
    <w:p w14:paraId="2FA944E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3.有关本次招标的事项若存在变动或修改，敬请及时关注盐城市政府采购中心在“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江苏政府采购网”“盐城市政府采购网”发布的更正公告。</w:t>
      </w:r>
    </w:p>
    <w:p w14:paraId="125CCBE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44A6E4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fill="FFFFFF"/>
        </w:rPr>
        <w:t>、对本次</w:t>
      </w: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fill="FFFFFF"/>
        </w:rPr>
        <w:t>提出询问，请按以下方式联系。</w:t>
      </w:r>
      <w:bookmarkEnd w:id="31"/>
    </w:p>
    <w:p w14:paraId="3F38297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5158A9C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称：东台市东台镇人民政府</w:t>
      </w:r>
    </w:p>
    <w:p w14:paraId="0F3C21E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地 址：东台市宁树路199号   </w:t>
      </w:r>
    </w:p>
    <w:p w14:paraId="0E897FC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联系人：桂先生              </w:t>
      </w:r>
    </w:p>
    <w:p w14:paraId="22A81F9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联系方式：15351517758            </w:t>
      </w:r>
    </w:p>
    <w:p w14:paraId="4146E5A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44FA01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称：盐城超卓工程咨询有限公司</w:t>
      </w:r>
    </w:p>
    <w:p w14:paraId="79E4123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地 址：东台市北海西路3号聚龙双苑7幢 </w:t>
      </w:r>
    </w:p>
    <w:p w14:paraId="0EE6CC1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联系人：邓女士                     </w:t>
      </w:r>
    </w:p>
    <w:p w14:paraId="05E06D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32" w:name="_Toc28359087"/>
      <w:bookmarkStart w:id="33" w:name="_Toc28359010"/>
      <w:r>
        <w:rPr>
          <w:rFonts w:hint="eastAsia" w:ascii="宋体" w:hAnsi="宋体" w:eastAsia="宋体" w:cs="宋体"/>
          <w:i w:val="0"/>
          <w:iCs w:val="0"/>
          <w:caps w:val="0"/>
          <w:color w:val="333333"/>
          <w:spacing w:val="0"/>
          <w:sz w:val="24"/>
          <w:szCs w:val="24"/>
          <w:highlight w:val="none"/>
          <w:shd w:val="clear" w:fill="FFFFFF"/>
          <w:lang w:val="en-US" w:eastAsia="zh-CN"/>
        </w:rPr>
        <w:t>18051703498       </w:t>
      </w:r>
      <w:bookmarkEnd w:id="32"/>
      <w:bookmarkEnd w:id="33"/>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2ACE43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4" w:name="_Toc28359021"/>
      <w:r>
        <w:rPr>
          <w:rFonts w:hint="eastAsia" w:ascii="宋体" w:hAnsi="宋体" w:eastAsia="宋体" w:cs="宋体"/>
          <w:i w:val="0"/>
          <w:iCs w:val="0"/>
          <w:caps w:val="0"/>
          <w:color w:val="333333"/>
          <w:spacing w:val="0"/>
          <w:sz w:val="24"/>
          <w:szCs w:val="24"/>
          <w:highlight w:val="none"/>
          <w:shd w:val="clear" w:fill="FFFFFF"/>
          <w:lang w:val="en-US" w:eastAsia="zh-CN"/>
        </w:rPr>
        <w:t>3.</w:t>
      </w:r>
      <w:bookmarkEnd w:id="34"/>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3AA004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项目联系人：桂先生、邓女士</w:t>
      </w:r>
    </w:p>
    <w:p w14:paraId="11CEABD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话：15351517758、18051703498　　　　　　　　　　　　</w:t>
      </w:r>
    </w:p>
    <w:p w14:paraId="3067DD59">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9AC74DB">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r>
      <w:bookmarkStart w:id="35" w:name="_Toc120614211"/>
    </w:p>
    <w:bookmarkEnd w:id="35"/>
    <w:p w14:paraId="7CAA5B76">
      <w:pPr>
        <w:keepNext/>
        <w:keepLines/>
        <w:widowControl w:val="0"/>
        <w:spacing w:line="360" w:lineRule="auto"/>
        <w:ind w:firstLine="883"/>
        <w:jc w:val="center"/>
        <w:outlineLvl w:val="0"/>
        <w:rPr>
          <w:rFonts w:hint="default" w:ascii="Calibri" w:hAnsi="Calibri" w:eastAsia="黑体" w:cs="Times New Roman"/>
          <w:b/>
          <w:bCs/>
          <w:sz w:val="44"/>
          <w:szCs w:val="44"/>
        </w:rPr>
      </w:pPr>
      <w:bookmarkStart w:id="36" w:name="_Toc211901902"/>
      <w:bookmarkStart w:id="37" w:name="_Hlt26954739"/>
      <w:bookmarkStart w:id="38" w:name="_Toc513029226"/>
      <w:bookmarkStart w:id="39" w:name="_Hlt26670360"/>
      <w:bookmarkStart w:id="40" w:name="_Hlt26954848"/>
      <w:bookmarkStart w:id="41" w:name="_Hlt26954846"/>
      <w:bookmarkStart w:id="42" w:name="_Hlt26670486"/>
      <w:bookmarkStart w:id="43" w:name="_Hlt26954838"/>
      <w:bookmarkStart w:id="44" w:name="_Hlt26954731"/>
      <w:bookmarkStart w:id="45" w:name="_Hlt16619475"/>
      <w:bookmarkStart w:id="46" w:name="_Hlt26668975"/>
      <w:bookmarkStart w:id="47" w:name="_Hlt26670482"/>
      <w:bookmarkStart w:id="48" w:name="_Hlt26954852"/>
      <w:r>
        <w:rPr>
          <w:rFonts w:hint="eastAsia" w:ascii="Calibri" w:hAnsi="Calibri" w:eastAsia="黑体" w:cs="Times New Roman"/>
          <w:b/>
          <w:bCs/>
          <w:sz w:val="44"/>
          <w:szCs w:val="44"/>
        </w:rPr>
        <w:t xml:space="preserve">第二章  </w:t>
      </w:r>
      <w:bookmarkStart w:id="49" w:name="_Toc16938518"/>
      <w:bookmarkStart w:id="50" w:name="_Toc120614213"/>
      <w:bookmarkStart w:id="51" w:name="_Toc513029202"/>
      <w:bookmarkStart w:id="52" w:name="_Toc20823274"/>
      <w:r>
        <w:rPr>
          <w:rFonts w:hint="eastAsia" w:ascii="Calibri" w:hAnsi="Calibri" w:eastAsia="黑体" w:cs="Times New Roman"/>
          <w:b/>
          <w:bCs/>
          <w:sz w:val="44"/>
          <w:szCs w:val="44"/>
        </w:rPr>
        <w:t>投标人须知</w:t>
      </w:r>
      <w:bookmarkEnd w:id="36"/>
      <w:bookmarkEnd w:id="49"/>
      <w:bookmarkEnd w:id="50"/>
      <w:bookmarkEnd w:id="51"/>
      <w:bookmarkEnd w:id="52"/>
    </w:p>
    <w:p w14:paraId="0B33A26A">
      <w:pPr>
        <w:widowControl w:val="0"/>
        <w:spacing w:line="360" w:lineRule="auto"/>
        <w:ind w:firstLine="602"/>
        <w:outlineLvl w:val="1"/>
        <w:rPr>
          <w:rFonts w:hint="default" w:ascii="宋体" w:hAnsi="宋体" w:eastAsia="宋体" w:cs="Times New Roman"/>
          <w:b/>
          <w:bCs/>
          <w:sz w:val="24"/>
          <w:szCs w:val="24"/>
        </w:rPr>
      </w:pPr>
      <w:bookmarkStart w:id="53" w:name="_Toc184145580"/>
      <w:bookmarkStart w:id="54" w:name="_Toc513029203"/>
      <w:bookmarkStart w:id="55" w:name="_Toc20823275"/>
      <w:bookmarkStart w:id="56" w:name="_Toc120614214"/>
      <w:bookmarkStart w:id="57" w:name="_Toc16938519"/>
      <w:bookmarkStart w:id="58" w:name="_Toc211901903"/>
      <w:r>
        <w:rPr>
          <w:rFonts w:hint="eastAsia" w:ascii="宋体" w:hAnsi="宋体" w:eastAsia="宋体" w:cs="Times New Roman"/>
          <w:b/>
          <w:bCs/>
          <w:sz w:val="24"/>
          <w:szCs w:val="24"/>
        </w:rPr>
        <w:t>一、总则</w:t>
      </w:r>
      <w:bookmarkEnd w:id="53"/>
      <w:bookmarkEnd w:id="54"/>
      <w:bookmarkEnd w:id="55"/>
      <w:bookmarkEnd w:id="56"/>
      <w:bookmarkEnd w:id="57"/>
      <w:bookmarkEnd w:id="58"/>
    </w:p>
    <w:p w14:paraId="33D9A5B7">
      <w:pPr>
        <w:spacing w:line="360" w:lineRule="auto"/>
        <w:ind w:firstLine="560"/>
        <w:jc w:val="left"/>
        <w:rPr>
          <w:rFonts w:hint="default" w:ascii="Calibri" w:hAnsi="Calibri" w:eastAsia="Arial" w:cs="Times New Roman"/>
          <w:kern w:val="0"/>
          <w:sz w:val="24"/>
          <w:szCs w:val="24"/>
        </w:rPr>
      </w:pPr>
      <w:bookmarkStart w:id="59" w:name="_Toc20823276"/>
      <w:bookmarkStart w:id="60" w:name="_Toc458694821"/>
      <w:bookmarkStart w:id="61" w:name="_Toc16938520"/>
      <w:bookmarkStart w:id="62" w:name="_Toc513029204"/>
      <w:r>
        <w:rPr>
          <w:rFonts w:hint="default" w:ascii="Arial" w:hAnsi="Arial" w:eastAsia="Arial" w:cs="Arial"/>
          <w:color w:val="000000"/>
          <w:kern w:val="0"/>
          <w:sz w:val="24"/>
          <w:szCs w:val="24"/>
        </w:rPr>
        <w:t>1</w:t>
      </w:r>
      <w:bookmarkEnd w:id="59"/>
      <w:r>
        <w:rPr>
          <w:rFonts w:hint="default" w:ascii="Arial" w:hAnsi="Arial" w:eastAsia="Arial" w:cs="Arial"/>
          <w:color w:val="000000"/>
          <w:kern w:val="0"/>
          <w:sz w:val="24"/>
          <w:szCs w:val="24"/>
        </w:rPr>
        <w:t>、招标方式</w:t>
      </w:r>
      <w:bookmarkEnd w:id="60"/>
      <w:bookmarkEnd w:id="61"/>
      <w:bookmarkEnd w:id="62"/>
    </w:p>
    <w:p w14:paraId="3BFFBDEA">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1.1 本次招标采取公开招标方式，本招标文件仅适用于招标公告中所述项目。</w:t>
      </w:r>
    </w:p>
    <w:p w14:paraId="331FB4B6">
      <w:pPr>
        <w:spacing w:line="360" w:lineRule="auto"/>
        <w:ind w:firstLine="560"/>
        <w:jc w:val="left"/>
        <w:rPr>
          <w:rFonts w:hint="default" w:ascii="Calibri" w:hAnsi="Calibri" w:eastAsia="Arial" w:cs="Times New Roman"/>
          <w:kern w:val="0"/>
          <w:sz w:val="24"/>
          <w:szCs w:val="24"/>
        </w:rPr>
      </w:pPr>
      <w:bookmarkStart w:id="63" w:name="_Toc16938521"/>
      <w:bookmarkStart w:id="64" w:name="_Toc513029205"/>
      <w:bookmarkStart w:id="65" w:name="_Toc20823277"/>
      <w:r>
        <w:rPr>
          <w:rFonts w:hint="default" w:ascii="Arial" w:hAnsi="Arial" w:eastAsia="Arial" w:cs="Arial"/>
          <w:color w:val="000000"/>
          <w:kern w:val="0"/>
          <w:sz w:val="24"/>
          <w:szCs w:val="24"/>
        </w:rPr>
        <w:t>2、合格的投标人</w:t>
      </w:r>
      <w:bookmarkEnd w:id="63"/>
      <w:bookmarkEnd w:id="64"/>
      <w:bookmarkEnd w:id="65"/>
    </w:p>
    <w:p w14:paraId="5CBF857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2.1满足招标公告中供应商的资格要求的规定。</w:t>
      </w:r>
    </w:p>
    <w:p w14:paraId="29286C7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2.2 满足本文件实质性要求和条件的规定。</w:t>
      </w:r>
    </w:p>
    <w:p w14:paraId="3AD6EE1C">
      <w:pPr>
        <w:spacing w:line="360" w:lineRule="auto"/>
        <w:ind w:firstLine="560"/>
        <w:jc w:val="left"/>
        <w:rPr>
          <w:rFonts w:hint="default" w:ascii="Calibri" w:hAnsi="Calibri" w:eastAsia="Arial" w:cs="Times New Roman"/>
          <w:kern w:val="0"/>
          <w:sz w:val="24"/>
          <w:szCs w:val="24"/>
        </w:rPr>
      </w:pPr>
      <w:bookmarkStart w:id="66" w:name="_Toc513029206"/>
      <w:bookmarkStart w:id="67" w:name="_Toc16938522"/>
      <w:bookmarkStart w:id="68" w:name="_Toc20823278"/>
      <w:r>
        <w:rPr>
          <w:rFonts w:hint="default" w:ascii="Arial" w:hAnsi="Arial" w:eastAsia="Arial" w:cs="Arial"/>
          <w:color w:val="000000"/>
          <w:kern w:val="0"/>
          <w:sz w:val="24"/>
          <w:szCs w:val="24"/>
        </w:rPr>
        <w:t>3、适用法律</w:t>
      </w:r>
      <w:bookmarkEnd w:id="66"/>
      <w:bookmarkEnd w:id="67"/>
      <w:bookmarkEnd w:id="68"/>
    </w:p>
    <w:p w14:paraId="66E6BA57">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3.1 本次招标及由此产生的合同受中华人民共和国有关的法律法规制约和保护。</w:t>
      </w:r>
    </w:p>
    <w:p w14:paraId="2B2DD3E3">
      <w:pPr>
        <w:spacing w:line="360" w:lineRule="auto"/>
        <w:ind w:firstLine="560"/>
        <w:jc w:val="left"/>
        <w:rPr>
          <w:rFonts w:hint="default" w:ascii="Calibri" w:hAnsi="Calibri" w:eastAsia="Arial" w:cs="Times New Roman"/>
          <w:kern w:val="0"/>
          <w:sz w:val="24"/>
          <w:szCs w:val="24"/>
        </w:rPr>
      </w:pPr>
      <w:bookmarkStart w:id="69" w:name="_Toc20823279"/>
      <w:bookmarkStart w:id="70" w:name="_Toc513029207"/>
      <w:bookmarkStart w:id="71" w:name="_Toc16938523"/>
      <w:bookmarkStart w:id="72" w:name="_Toc462564067"/>
      <w:r>
        <w:rPr>
          <w:rFonts w:hint="default" w:ascii="Arial" w:hAnsi="Arial" w:eastAsia="Arial" w:cs="Arial"/>
          <w:color w:val="000000"/>
          <w:kern w:val="0"/>
          <w:sz w:val="24"/>
          <w:szCs w:val="24"/>
        </w:rPr>
        <w:t>4、投标费用</w:t>
      </w:r>
      <w:bookmarkEnd w:id="69"/>
      <w:bookmarkEnd w:id="70"/>
      <w:bookmarkEnd w:id="71"/>
      <w:bookmarkEnd w:id="72"/>
    </w:p>
    <w:p w14:paraId="1F7F178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4.1 投标人应自行承担所有与参加投标有关的费用，无论投标过程中的做法和结果如何，采购人在任何情况下均无义务和责任承担这些费用。</w:t>
      </w:r>
    </w:p>
    <w:p w14:paraId="6254A6C6">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4.2本次招标采购人不收取标书工本费与中标服务费。</w:t>
      </w:r>
    </w:p>
    <w:p w14:paraId="269E9211">
      <w:pPr>
        <w:spacing w:line="360" w:lineRule="auto"/>
        <w:ind w:firstLine="602"/>
        <w:jc w:val="left"/>
        <w:rPr>
          <w:rFonts w:hint="default" w:ascii="Calibri" w:hAnsi="Calibri" w:eastAsia="Arial" w:cs="Times New Roman"/>
          <w:kern w:val="0"/>
          <w:sz w:val="24"/>
          <w:szCs w:val="24"/>
        </w:rPr>
      </w:pPr>
      <w:r>
        <w:rPr>
          <w:rFonts w:hint="eastAsia" w:ascii="宋体" w:hAnsi="宋体" w:eastAsia="宋体" w:cs="宋体"/>
          <w:b/>
          <w:color w:val="000000"/>
          <w:kern w:val="0"/>
          <w:sz w:val="24"/>
          <w:szCs w:val="24"/>
        </w:rPr>
        <w:t>5、</w:t>
      </w:r>
      <w:r>
        <w:rPr>
          <w:rFonts w:hint="eastAsia" w:ascii="黑体" w:hAnsi="宋体" w:eastAsia="黑体" w:cs="黑体"/>
          <w:color w:val="000000"/>
          <w:kern w:val="0"/>
          <w:sz w:val="24"/>
          <w:szCs w:val="24"/>
        </w:rPr>
        <w:t>招标文件的约束力</w:t>
      </w:r>
    </w:p>
    <w:p w14:paraId="0C135C21">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5.1 投标人一旦参加本项目采购活动，即被认为接受了本招标文件的规定和约束。</w:t>
      </w:r>
    </w:p>
    <w:p w14:paraId="7FCFD1F4">
      <w:pPr>
        <w:widowControl w:val="0"/>
        <w:spacing w:line="360" w:lineRule="auto"/>
        <w:ind w:firstLine="602"/>
        <w:outlineLvl w:val="1"/>
        <w:rPr>
          <w:rFonts w:hint="default" w:ascii="宋体" w:hAnsi="宋体" w:eastAsia="宋体" w:cs="Times New Roman"/>
          <w:b/>
          <w:bCs/>
          <w:sz w:val="24"/>
          <w:szCs w:val="24"/>
        </w:rPr>
      </w:pPr>
      <w:bookmarkStart w:id="73" w:name="_Toc184145581"/>
      <w:bookmarkStart w:id="74" w:name="_Toc20823281"/>
      <w:bookmarkStart w:id="75" w:name="_Toc211901904"/>
      <w:bookmarkStart w:id="76" w:name="_Toc513029209"/>
      <w:bookmarkStart w:id="77" w:name="_Toc16938525"/>
      <w:bookmarkStart w:id="78" w:name="_Toc120614215"/>
      <w:r>
        <w:rPr>
          <w:rFonts w:hint="eastAsia" w:ascii="宋体" w:hAnsi="宋体" w:eastAsia="宋体" w:cs="Times New Roman"/>
          <w:b/>
          <w:bCs/>
          <w:sz w:val="24"/>
          <w:szCs w:val="24"/>
        </w:rPr>
        <w:t>二、招标文件</w:t>
      </w:r>
      <w:bookmarkEnd w:id="73"/>
      <w:bookmarkEnd w:id="74"/>
      <w:bookmarkEnd w:id="75"/>
      <w:bookmarkEnd w:id="76"/>
      <w:bookmarkEnd w:id="77"/>
      <w:bookmarkEnd w:id="78"/>
    </w:p>
    <w:p w14:paraId="2D3143A0">
      <w:pPr>
        <w:spacing w:line="360" w:lineRule="auto"/>
        <w:ind w:firstLine="560"/>
        <w:jc w:val="left"/>
        <w:rPr>
          <w:rFonts w:hint="default" w:ascii="Calibri" w:hAnsi="Calibri" w:eastAsia="Arial" w:cs="Times New Roman"/>
          <w:kern w:val="0"/>
          <w:sz w:val="24"/>
          <w:szCs w:val="24"/>
        </w:rPr>
      </w:pPr>
      <w:bookmarkStart w:id="79" w:name="_Toc16938526"/>
      <w:bookmarkStart w:id="80" w:name="_Toc513029210"/>
      <w:bookmarkStart w:id="81" w:name="_Toc20823282"/>
      <w:r>
        <w:rPr>
          <w:rFonts w:hint="default" w:ascii="Arial" w:hAnsi="Arial" w:eastAsia="Arial" w:cs="Arial"/>
          <w:color w:val="000000"/>
          <w:kern w:val="0"/>
          <w:sz w:val="24"/>
          <w:szCs w:val="24"/>
        </w:rPr>
        <w:t>6、招标文件构成</w:t>
      </w:r>
      <w:bookmarkEnd w:id="79"/>
      <w:bookmarkEnd w:id="80"/>
      <w:bookmarkEnd w:id="81"/>
    </w:p>
    <w:p w14:paraId="1BAA7112">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6.1 招标文件由以下部分组成：</w:t>
      </w:r>
    </w:p>
    <w:p w14:paraId="0EDF5F57">
      <w:pPr>
        <w:spacing w:line="360" w:lineRule="auto"/>
        <w:ind w:firstLine="560"/>
        <w:jc w:val="left"/>
        <w:rPr>
          <w:rFonts w:hint="default" w:ascii="宋体" w:hAnsi="宋体" w:eastAsia="宋体" w:cs="宋体"/>
          <w:color w:val="000000"/>
          <w:kern w:val="0"/>
          <w:sz w:val="24"/>
          <w:szCs w:val="24"/>
        </w:rPr>
      </w:pPr>
      <w:r>
        <w:rPr>
          <w:rFonts w:hint="eastAsia" w:ascii="宋体" w:hAnsi="宋体" w:eastAsia="宋体" w:cs="宋体"/>
          <w:color w:val="000000"/>
          <w:kern w:val="0"/>
          <w:sz w:val="24"/>
          <w:szCs w:val="24"/>
        </w:rPr>
        <w:t>（1）招标公告</w:t>
      </w:r>
    </w:p>
    <w:p w14:paraId="42365AA1">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（2）投标人须知</w:t>
      </w:r>
    </w:p>
    <w:p w14:paraId="286E953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（3）合同文本</w:t>
      </w:r>
    </w:p>
    <w:p w14:paraId="5FD2053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（4）采购需求</w:t>
      </w:r>
    </w:p>
    <w:p w14:paraId="4C1FD16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（5）</w:t>
      </w:r>
      <w:r>
        <w:rPr>
          <w:rFonts w:hint="default" w:ascii="Times New Roman" w:hAnsi="Times New Roman" w:eastAsia="Arial" w:cs="Times New Roman"/>
          <w:color w:val="000000"/>
          <w:kern w:val="0"/>
          <w:sz w:val="24"/>
          <w:szCs w:val="24"/>
        </w:rPr>
        <w:t>评标方法与评标标准</w:t>
      </w:r>
    </w:p>
    <w:p w14:paraId="1D368B0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（6）投标文件格式</w:t>
      </w:r>
    </w:p>
    <w:p w14:paraId="1FD7984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请仔细检查招标文件是否齐全，如有缺漏请立即与采购人联系解决。</w:t>
      </w:r>
    </w:p>
    <w:p w14:paraId="16D9E24E">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E6DD32E">
      <w:pPr>
        <w:spacing w:line="360" w:lineRule="auto"/>
        <w:ind w:firstLine="560"/>
        <w:jc w:val="left"/>
        <w:rPr>
          <w:rFonts w:hint="default" w:ascii="Calibri" w:hAnsi="Calibri" w:eastAsia="Arial" w:cs="Times New Roman"/>
          <w:kern w:val="0"/>
          <w:sz w:val="24"/>
          <w:szCs w:val="24"/>
        </w:rPr>
      </w:pPr>
      <w:bookmarkStart w:id="82" w:name="_Toc16938527"/>
      <w:bookmarkStart w:id="83" w:name="_Toc513029211"/>
      <w:bookmarkStart w:id="84" w:name="_Toc462564070"/>
      <w:bookmarkStart w:id="85" w:name="_Toc20823283"/>
      <w:r>
        <w:rPr>
          <w:rFonts w:hint="default" w:ascii="Arial" w:hAnsi="Arial" w:eastAsia="Arial" w:cs="Arial"/>
          <w:color w:val="000000"/>
          <w:kern w:val="0"/>
          <w:sz w:val="24"/>
          <w:szCs w:val="24"/>
        </w:rPr>
        <w:t>7、招标文件的澄清</w:t>
      </w:r>
      <w:bookmarkEnd w:id="82"/>
      <w:bookmarkEnd w:id="83"/>
      <w:bookmarkEnd w:id="84"/>
      <w:bookmarkEnd w:id="85"/>
    </w:p>
    <w:p w14:paraId="0D50717D">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7.1 任何要求对招标文件进行澄清的投标人，应在投标截止期</w:t>
      </w:r>
      <w:r>
        <w:rPr>
          <w:rFonts w:hint="default" w:ascii="仿宋_GB2312" w:hAnsi="Calibri" w:eastAsia="仿宋_GB2312" w:cs="仿宋_GB2312"/>
          <w:b/>
          <w:color w:val="000000"/>
          <w:kern w:val="0"/>
          <w:sz w:val="24"/>
          <w:szCs w:val="24"/>
        </w:rPr>
        <w:t>十日</w:t>
      </w:r>
      <w:r>
        <w:rPr>
          <w:rFonts w:hint="default" w:ascii="仿宋_GB2312" w:hAnsi="Calibri" w:eastAsia="仿宋_GB2312" w:cs="仿宋_GB2312"/>
          <w:color w:val="000000"/>
          <w:kern w:val="0"/>
          <w:sz w:val="24"/>
          <w:szCs w:val="24"/>
        </w:rPr>
        <w:t>前</w:t>
      </w:r>
      <w:r>
        <w:rPr>
          <w:rFonts w:hint="eastAsia" w:ascii="宋体" w:hAnsi="宋体" w:eastAsia="宋体" w:cs="宋体"/>
          <w:color w:val="000000"/>
          <w:kern w:val="0"/>
          <w:sz w:val="24"/>
          <w:szCs w:val="24"/>
        </w:rPr>
        <w:t>按招标公告中的通讯地址，以书面形式通知采购人。</w:t>
      </w:r>
    </w:p>
    <w:p w14:paraId="2BC04D15">
      <w:pPr>
        <w:spacing w:line="360" w:lineRule="auto"/>
        <w:ind w:firstLine="560"/>
        <w:jc w:val="left"/>
        <w:rPr>
          <w:rFonts w:hint="default" w:ascii="Calibri" w:hAnsi="Calibri" w:eastAsia="Arial" w:cs="Times New Roman"/>
          <w:kern w:val="0"/>
          <w:sz w:val="24"/>
          <w:szCs w:val="24"/>
        </w:rPr>
      </w:pPr>
      <w:bookmarkStart w:id="86" w:name="_Toc20823284"/>
      <w:bookmarkStart w:id="87" w:name="_Toc16938528"/>
      <w:bookmarkStart w:id="88" w:name="_Toc513029212"/>
      <w:bookmarkStart w:id="89" w:name="_Toc462564071"/>
      <w:r>
        <w:rPr>
          <w:rFonts w:hint="default" w:ascii="Arial" w:hAnsi="Arial" w:eastAsia="Arial" w:cs="Arial"/>
          <w:color w:val="000000"/>
          <w:kern w:val="0"/>
          <w:sz w:val="24"/>
          <w:szCs w:val="24"/>
        </w:rPr>
        <w:t>8、招标文件的修改</w:t>
      </w:r>
      <w:bookmarkEnd w:id="86"/>
      <w:bookmarkEnd w:id="87"/>
      <w:bookmarkEnd w:id="88"/>
      <w:bookmarkEnd w:id="89"/>
    </w:p>
    <w:p w14:paraId="6EA8CDB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8.1 在投标截止时间</w:t>
      </w:r>
      <w:r>
        <w:rPr>
          <w:rFonts w:hint="default" w:ascii="仿宋_GB2312" w:hAnsi="Calibri" w:eastAsia="仿宋_GB2312" w:cs="仿宋_GB2312"/>
          <w:color w:val="000000"/>
          <w:kern w:val="0"/>
          <w:sz w:val="24"/>
          <w:szCs w:val="24"/>
        </w:rPr>
        <w:t>前</w:t>
      </w:r>
      <w:r>
        <w:rPr>
          <w:rFonts w:hint="eastAsia" w:ascii="宋体" w:hAnsi="宋体" w:eastAsia="宋体" w:cs="宋体"/>
          <w:color w:val="000000"/>
          <w:kern w:val="0"/>
          <w:sz w:val="24"/>
          <w:szCs w:val="24"/>
        </w:rPr>
        <w:t>，采购人可以对招标文件进行修改。</w:t>
      </w:r>
    </w:p>
    <w:p w14:paraId="5F5E10D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8.2 采购人有权按照法定的要求推迟投标截止日期和开标日期。</w:t>
      </w:r>
    </w:p>
    <w:p w14:paraId="46D7B080">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8.3 招标文件的修改将在</w:t>
      </w:r>
      <w:r>
        <w:rPr>
          <w:rFonts w:hint="eastAsia" w:ascii="仿宋" w:hAnsi="仿宋" w:eastAsia="Arial" w:cs="仿宋"/>
          <w:color w:val="000000"/>
          <w:kern w:val="0"/>
          <w:sz w:val="24"/>
          <w:szCs w:val="24"/>
        </w:rPr>
        <w:t>中国政府采购网</w:t>
      </w:r>
      <w:r>
        <w:rPr>
          <w:rFonts w:hint="eastAsia" w:ascii="仿宋" w:hAnsi="仿宋" w:eastAsia="Arial" w:cs="仿宋"/>
          <w:color w:val="333333"/>
          <w:kern w:val="0"/>
          <w:sz w:val="24"/>
          <w:szCs w:val="24"/>
          <w:shd w:val="clear" w:color="auto" w:fill="FFFFFF"/>
        </w:rPr>
        <w:t>、</w:t>
      </w:r>
      <w:r>
        <w:rPr>
          <w:rFonts w:hint="eastAsia" w:ascii="宋体" w:hAnsi="宋体" w:eastAsia="宋体" w:cs="宋体"/>
          <w:color w:val="000000"/>
          <w:kern w:val="0"/>
          <w:sz w:val="24"/>
          <w:szCs w:val="24"/>
        </w:rPr>
        <w:t>江苏政府采购网、盐城市政府采购网公布，补充文件将作为招标文件的组成部分，并对投标人具有约束力。</w:t>
      </w:r>
    </w:p>
    <w:p w14:paraId="0EBB9C0D">
      <w:pPr>
        <w:widowControl w:val="0"/>
        <w:spacing w:line="360" w:lineRule="auto"/>
        <w:ind w:firstLine="602"/>
        <w:outlineLvl w:val="1"/>
        <w:rPr>
          <w:rFonts w:hint="default" w:ascii="宋体" w:hAnsi="宋体" w:eastAsia="宋体" w:cs="Times New Roman"/>
          <w:b/>
          <w:bCs/>
          <w:sz w:val="24"/>
          <w:szCs w:val="24"/>
        </w:rPr>
      </w:pPr>
      <w:bookmarkStart w:id="90" w:name="_Toc16938529"/>
      <w:bookmarkStart w:id="91" w:name="_Toc462564072"/>
      <w:bookmarkStart w:id="92" w:name="_Toc513029213"/>
      <w:bookmarkStart w:id="93" w:name="_Toc211901905"/>
      <w:bookmarkStart w:id="94" w:name="_Toc184145582"/>
      <w:bookmarkStart w:id="95" w:name="_Toc120614216"/>
      <w:bookmarkStart w:id="96" w:name="_Toc20823285"/>
      <w:r>
        <w:rPr>
          <w:rFonts w:hint="eastAsia" w:ascii="宋体" w:hAnsi="宋体" w:eastAsia="宋体" w:cs="Times New Roman"/>
          <w:b/>
          <w:bCs/>
          <w:sz w:val="24"/>
          <w:szCs w:val="24"/>
        </w:rPr>
        <w:t>三、投标文件的编制</w:t>
      </w:r>
      <w:bookmarkEnd w:id="90"/>
      <w:bookmarkEnd w:id="91"/>
      <w:bookmarkEnd w:id="92"/>
      <w:bookmarkEnd w:id="93"/>
      <w:bookmarkEnd w:id="94"/>
      <w:bookmarkEnd w:id="95"/>
      <w:bookmarkEnd w:id="96"/>
    </w:p>
    <w:p w14:paraId="6F4B6176">
      <w:pPr>
        <w:spacing w:line="360" w:lineRule="auto"/>
        <w:ind w:firstLine="560"/>
        <w:jc w:val="left"/>
        <w:rPr>
          <w:rFonts w:hint="default" w:ascii="Calibri" w:hAnsi="Calibri" w:eastAsia="Arial" w:cs="Times New Roman"/>
          <w:kern w:val="0"/>
          <w:sz w:val="24"/>
          <w:szCs w:val="24"/>
        </w:rPr>
      </w:pPr>
      <w:bookmarkStart w:id="97" w:name="_Toc513029214"/>
      <w:bookmarkStart w:id="98" w:name="_Toc462564073"/>
      <w:bookmarkStart w:id="99" w:name="_Toc20823286"/>
      <w:bookmarkStart w:id="100" w:name="_Toc16938530"/>
      <w:r>
        <w:rPr>
          <w:rFonts w:hint="default" w:ascii="Arial" w:hAnsi="Arial" w:eastAsia="Arial" w:cs="Arial"/>
          <w:color w:val="000000"/>
          <w:kern w:val="0"/>
          <w:sz w:val="24"/>
          <w:szCs w:val="24"/>
        </w:rPr>
        <w:t>9、投标文件的语言及度量衡单位</w:t>
      </w:r>
      <w:bookmarkEnd w:id="97"/>
      <w:bookmarkEnd w:id="98"/>
      <w:bookmarkEnd w:id="99"/>
      <w:bookmarkEnd w:id="100"/>
    </w:p>
    <w:p w14:paraId="6A0A5F0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9.1 投标人提交的投标文件以及投标人与采购人就有关投标的所有来往通知、函件和文件均应使用</w:t>
      </w:r>
      <w:r>
        <w:rPr>
          <w:rFonts w:hint="eastAsia" w:ascii="宋体" w:hAnsi="宋体" w:eastAsia="宋体" w:cs="宋体"/>
          <w:b/>
          <w:color w:val="000000"/>
          <w:kern w:val="0"/>
          <w:sz w:val="24"/>
          <w:szCs w:val="24"/>
        </w:rPr>
        <w:t>简体中文</w:t>
      </w:r>
      <w:r>
        <w:rPr>
          <w:rFonts w:hint="eastAsia" w:ascii="宋体" w:hAnsi="宋体" w:eastAsia="宋体" w:cs="宋体"/>
          <w:color w:val="000000"/>
          <w:kern w:val="0"/>
          <w:sz w:val="24"/>
          <w:szCs w:val="24"/>
        </w:rPr>
        <w:t>。</w:t>
      </w:r>
    </w:p>
    <w:p w14:paraId="3B48E080">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9.2 除技术性能另有规定外，投标文件所使用的度量衡单位，均须采用国家法定计量单位。</w:t>
      </w:r>
    </w:p>
    <w:p w14:paraId="34E630EF">
      <w:pPr>
        <w:spacing w:line="360" w:lineRule="auto"/>
        <w:ind w:firstLine="560"/>
        <w:jc w:val="left"/>
        <w:rPr>
          <w:rFonts w:hint="default" w:ascii="Calibri" w:hAnsi="Calibri" w:eastAsia="Arial" w:cs="Times New Roman"/>
          <w:kern w:val="0"/>
          <w:sz w:val="24"/>
          <w:szCs w:val="24"/>
        </w:rPr>
      </w:pPr>
      <w:bookmarkStart w:id="101" w:name="_Toc16938531"/>
      <w:bookmarkStart w:id="102" w:name="_Toc513029215"/>
      <w:bookmarkStart w:id="103" w:name="_Toc462564074"/>
      <w:bookmarkStart w:id="104" w:name="_Toc20823287"/>
      <w:r>
        <w:rPr>
          <w:rFonts w:hint="default" w:ascii="Arial" w:hAnsi="Arial" w:eastAsia="Arial" w:cs="Arial"/>
          <w:color w:val="000000"/>
          <w:kern w:val="0"/>
          <w:sz w:val="24"/>
          <w:szCs w:val="24"/>
        </w:rPr>
        <w:t>10、投标文件构成</w:t>
      </w:r>
      <w:bookmarkEnd w:id="101"/>
      <w:bookmarkEnd w:id="102"/>
      <w:bookmarkEnd w:id="103"/>
      <w:bookmarkEnd w:id="104"/>
    </w:p>
    <w:p w14:paraId="4117084A">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10.1 投标人编写的投标文件应包括资格证明文件、符合性证明文件、投标分项报价表、技术要求响应及偏离表、商务要求响应及偏离表、其他证明文件、投标函、开标一览表等部分。</w:t>
      </w:r>
    </w:p>
    <w:p w14:paraId="5E53BC5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10.2 如标书制作工具中格式和内容与</w:t>
      </w:r>
      <w:r>
        <w:rPr>
          <w:rFonts w:hint="eastAsia" w:ascii="仿宋" w:hAnsi="仿宋" w:eastAsia="Arial" w:cs="仿宋"/>
          <w:color w:val="333333"/>
          <w:kern w:val="0"/>
          <w:sz w:val="24"/>
          <w:szCs w:val="24"/>
          <w:shd w:val="clear" w:color="auto" w:fill="FFFFFF"/>
        </w:rPr>
        <w:t>“</w:t>
      </w:r>
      <w:r>
        <w:rPr>
          <w:rFonts w:hint="eastAsia" w:ascii="仿宋" w:hAnsi="仿宋" w:eastAsia="Arial" w:cs="仿宋"/>
          <w:color w:val="000000"/>
          <w:kern w:val="0"/>
          <w:sz w:val="24"/>
          <w:szCs w:val="24"/>
        </w:rPr>
        <w:t>中国政府采购网</w:t>
      </w:r>
      <w:r>
        <w:rPr>
          <w:rFonts w:hint="eastAsia" w:ascii="仿宋" w:hAnsi="仿宋" w:eastAsia="Arial" w:cs="仿宋"/>
          <w:color w:val="333333"/>
          <w:kern w:val="0"/>
          <w:sz w:val="24"/>
          <w:szCs w:val="24"/>
          <w:shd w:val="clear" w:color="auto" w:fill="FFFFFF"/>
        </w:rPr>
        <w:t>”、</w:t>
      </w:r>
      <w:r>
        <w:rPr>
          <w:rFonts w:hint="eastAsia" w:ascii="宋体" w:hAnsi="宋体" w:eastAsia="宋体" w:cs="宋体"/>
          <w:color w:val="000000"/>
          <w:kern w:val="0"/>
          <w:sz w:val="24"/>
          <w:szCs w:val="24"/>
        </w:rPr>
        <w:t>“江苏政府采购网”、“盐城市政府采购网</w:t>
      </w:r>
      <w:r>
        <w:rPr>
          <w:rFonts w:hint="eastAsia" w:ascii="仿宋" w:hAnsi="仿宋" w:eastAsia="Arial" w:cs="仿宋"/>
          <w:color w:val="333333"/>
          <w:kern w:val="0"/>
          <w:sz w:val="24"/>
          <w:szCs w:val="24"/>
          <w:shd w:val="clear" w:color="auto" w:fill="FFFFFF"/>
        </w:rPr>
        <w:t>”</w:t>
      </w:r>
      <w:r>
        <w:rPr>
          <w:rFonts w:hint="eastAsia" w:ascii="宋体" w:hAnsi="宋体" w:eastAsia="宋体" w:cs="宋体"/>
          <w:color w:val="000000"/>
          <w:kern w:val="0"/>
          <w:sz w:val="24"/>
          <w:szCs w:val="24"/>
        </w:rPr>
        <w:t>发布的招标文件不一致，请以</w:t>
      </w:r>
      <w:r>
        <w:rPr>
          <w:rFonts w:hint="eastAsia" w:ascii="仿宋" w:hAnsi="仿宋" w:eastAsia="Arial" w:cs="仿宋"/>
          <w:color w:val="000000"/>
          <w:kern w:val="0"/>
          <w:sz w:val="24"/>
          <w:szCs w:val="24"/>
        </w:rPr>
        <w:t>中国政府采购网</w:t>
      </w:r>
      <w:r>
        <w:rPr>
          <w:rFonts w:hint="eastAsia" w:ascii="仿宋" w:hAnsi="仿宋" w:eastAsia="Arial" w:cs="仿宋"/>
          <w:color w:val="333333"/>
          <w:kern w:val="0"/>
          <w:sz w:val="24"/>
          <w:szCs w:val="24"/>
          <w:shd w:val="clear" w:color="auto" w:fill="FFFFFF"/>
        </w:rPr>
        <w:t>”、</w:t>
      </w:r>
      <w:r>
        <w:rPr>
          <w:rFonts w:hint="eastAsia" w:ascii="宋体" w:hAnsi="宋体" w:eastAsia="宋体" w:cs="宋体"/>
          <w:color w:val="000000"/>
          <w:kern w:val="0"/>
          <w:sz w:val="24"/>
          <w:szCs w:val="24"/>
        </w:rPr>
        <w:t>“江苏政府采购网”、“盐城市政府采购网</w:t>
      </w:r>
      <w:r>
        <w:rPr>
          <w:rFonts w:hint="eastAsia" w:ascii="仿宋" w:hAnsi="仿宋" w:eastAsia="Arial" w:cs="仿宋"/>
          <w:color w:val="333333"/>
          <w:kern w:val="0"/>
          <w:sz w:val="24"/>
          <w:szCs w:val="24"/>
          <w:shd w:val="clear" w:color="auto" w:fill="FFFFFF"/>
        </w:rPr>
        <w:t>”</w:t>
      </w:r>
      <w:r>
        <w:rPr>
          <w:rFonts w:hint="eastAsia" w:ascii="宋体" w:hAnsi="宋体" w:eastAsia="宋体" w:cs="宋体"/>
          <w:color w:val="000000"/>
          <w:kern w:val="0"/>
          <w:sz w:val="24"/>
          <w:szCs w:val="24"/>
        </w:rPr>
        <w:t>发布的招标文件为准。</w:t>
      </w:r>
    </w:p>
    <w:p w14:paraId="2F6ED3D2">
      <w:pPr>
        <w:spacing w:line="360" w:lineRule="auto"/>
        <w:ind w:firstLine="560"/>
        <w:jc w:val="left"/>
        <w:rPr>
          <w:rFonts w:hint="default" w:ascii="Calibri" w:hAnsi="Calibri" w:eastAsia="Arial" w:cs="Times New Roman"/>
          <w:kern w:val="0"/>
          <w:sz w:val="24"/>
          <w:szCs w:val="24"/>
        </w:rPr>
      </w:pPr>
      <w:bookmarkStart w:id="105" w:name="_Toc14577354"/>
      <w:bookmarkStart w:id="106" w:name="_Toc49090508"/>
      <w:bookmarkStart w:id="107" w:name="_Toc14577355"/>
      <w:bookmarkStart w:id="108" w:name="_Toc513029216"/>
      <w:bookmarkStart w:id="109" w:name="_Toc14577357"/>
      <w:bookmarkStart w:id="110" w:name="_Toc49090507"/>
      <w:bookmarkStart w:id="111" w:name="_Toc49090509"/>
      <w:bookmarkStart w:id="112" w:name="_Toc513029219"/>
      <w:r>
        <w:rPr>
          <w:rFonts w:hint="default" w:ascii="Arial" w:hAnsi="Arial" w:eastAsia="Arial" w:cs="Arial"/>
          <w:color w:val="000000"/>
          <w:kern w:val="0"/>
          <w:sz w:val="24"/>
          <w:szCs w:val="24"/>
        </w:rPr>
        <w:t>11、证明投标人及投标标的符合招标文件规定的文件</w:t>
      </w:r>
      <w:bookmarkEnd w:id="105"/>
      <w:bookmarkEnd w:id="106"/>
      <w:bookmarkEnd w:id="107"/>
      <w:bookmarkEnd w:id="108"/>
      <w:bookmarkEnd w:id="109"/>
      <w:bookmarkEnd w:id="110"/>
      <w:bookmarkEnd w:id="111"/>
      <w:bookmarkEnd w:id="112"/>
    </w:p>
    <w:p w14:paraId="30BD862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11.1 投标人应按照招标文件要求提交证明文件，证明其及投标标的符合招标文件规定。</w:t>
      </w:r>
    </w:p>
    <w:p w14:paraId="53EFB438">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11.2招标文件对证明文件无明确形式要求的，证明文件可以以文字资料、图纸和数据等形式提交。</w:t>
      </w:r>
    </w:p>
    <w:p w14:paraId="70BD1892">
      <w:pPr>
        <w:spacing w:line="360" w:lineRule="auto"/>
        <w:ind w:firstLine="560"/>
        <w:jc w:val="left"/>
        <w:rPr>
          <w:rFonts w:hint="default" w:ascii="Calibri" w:hAnsi="Calibri" w:eastAsia="Arial" w:cs="Times New Roman"/>
          <w:kern w:val="0"/>
          <w:sz w:val="24"/>
          <w:szCs w:val="24"/>
        </w:rPr>
      </w:pPr>
      <w:r>
        <w:rPr>
          <w:rFonts w:hint="default" w:ascii="Arial" w:hAnsi="Arial" w:eastAsia="Arial" w:cs="Arial"/>
          <w:color w:val="000000"/>
          <w:kern w:val="0"/>
          <w:sz w:val="24"/>
          <w:szCs w:val="24"/>
        </w:rPr>
        <w:t>12、投标分项报价表</w:t>
      </w:r>
    </w:p>
    <w:p w14:paraId="27E791C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12.1 投标人应按照招标文件规定格式填报投标分项报价表。</w:t>
      </w:r>
    </w:p>
    <w:p w14:paraId="151364C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12.2投标货币。投标文件中的单价和总价无特殊规定的采用人民币报价，以元为单位标注。招标文件中另有规定的按规定执行。</w:t>
      </w:r>
    </w:p>
    <w:p w14:paraId="666A7BFA">
      <w:pPr>
        <w:spacing w:line="360" w:lineRule="auto"/>
        <w:ind w:firstLine="560"/>
        <w:jc w:val="left"/>
        <w:rPr>
          <w:rFonts w:hint="default" w:ascii="Calibri" w:hAnsi="Calibri" w:eastAsia="Arial" w:cs="Times New Roman"/>
          <w:kern w:val="0"/>
          <w:sz w:val="24"/>
          <w:szCs w:val="24"/>
        </w:rPr>
      </w:pPr>
      <w:r>
        <w:rPr>
          <w:rFonts w:hint="default" w:ascii="Arial" w:hAnsi="Arial" w:eastAsia="Arial" w:cs="Arial"/>
          <w:color w:val="000000"/>
          <w:kern w:val="0"/>
          <w:sz w:val="24"/>
          <w:szCs w:val="24"/>
        </w:rPr>
        <w:t>13、技术要求响应及偏离表、商务要求响应及偏离表</w:t>
      </w:r>
    </w:p>
    <w:p w14:paraId="15F1BE9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13.1 投标人需对招标文件中的技术要求与商务要求逐项作出响应或偏离，并说明原因。</w:t>
      </w:r>
    </w:p>
    <w:p w14:paraId="2EFAF126">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13.2 投标人可在投标文件中提供认为需要的其他技术文件或说明。</w:t>
      </w:r>
    </w:p>
    <w:p w14:paraId="199EC44E">
      <w:pPr>
        <w:spacing w:line="360" w:lineRule="auto"/>
        <w:ind w:firstLine="560"/>
        <w:jc w:val="left"/>
        <w:rPr>
          <w:rFonts w:hint="default" w:ascii="Calibri" w:hAnsi="Calibri" w:eastAsia="Arial" w:cs="Times New Roman"/>
          <w:kern w:val="0"/>
          <w:sz w:val="24"/>
          <w:szCs w:val="24"/>
        </w:rPr>
      </w:pPr>
      <w:r>
        <w:rPr>
          <w:rFonts w:hint="default" w:ascii="Arial" w:hAnsi="Arial" w:eastAsia="Arial" w:cs="Arial"/>
          <w:color w:val="000000"/>
          <w:kern w:val="0"/>
          <w:sz w:val="24"/>
          <w:szCs w:val="24"/>
        </w:rPr>
        <w:t>14、服务承诺、培训计划、人员安排及其他</w:t>
      </w:r>
    </w:p>
    <w:p w14:paraId="60E9E07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14.1 投标人需根据招标文件要求提供有关售后服务的管理制度，售后服务机构的分布情况，售后服务人员的数量、素质、技术水平及售后服务的反应能力等。</w:t>
      </w:r>
    </w:p>
    <w:p w14:paraId="106C54E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14.2 投标人需根据招标文件要求提供培训计划。</w:t>
      </w:r>
    </w:p>
    <w:p w14:paraId="289981A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14.3  投标人需根据招标文件要求提供所投标的的主要组成部分、功能设计、实现思路及关键技术等。</w:t>
      </w:r>
    </w:p>
    <w:p w14:paraId="7B9AE4A4">
      <w:pPr>
        <w:spacing w:line="360" w:lineRule="auto"/>
        <w:ind w:firstLine="560"/>
        <w:jc w:val="left"/>
        <w:rPr>
          <w:rFonts w:hint="default" w:ascii="Calibri" w:hAnsi="Calibri" w:eastAsia="Arial" w:cs="Times New Roman"/>
          <w:kern w:val="0"/>
          <w:sz w:val="24"/>
          <w:szCs w:val="24"/>
        </w:rPr>
      </w:pPr>
      <w:bookmarkStart w:id="113" w:name="_Toc49090510"/>
      <w:bookmarkStart w:id="114" w:name="_Toc14577359"/>
      <w:r>
        <w:rPr>
          <w:rFonts w:hint="default" w:ascii="Arial" w:hAnsi="Arial" w:eastAsia="Arial" w:cs="Arial"/>
          <w:color w:val="000000"/>
          <w:kern w:val="0"/>
          <w:sz w:val="24"/>
          <w:szCs w:val="24"/>
        </w:rPr>
        <w:t>15、投标函和开标一览表</w:t>
      </w:r>
      <w:bookmarkEnd w:id="113"/>
      <w:bookmarkEnd w:id="114"/>
    </w:p>
    <w:p w14:paraId="26BB75ED">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15.1 投标人应按照招标文件中提供的格式完整、正确填写投标函、开标一览表。</w:t>
      </w:r>
    </w:p>
    <w:p w14:paraId="56505D3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15.2 对于采用货币报价的项目，开标一览表中的投标总报价应与投标分项报价表中的投标总报价一致，如不一致，不作为无效投标处理，但评标时按开标一览表中价格为准。</w:t>
      </w:r>
    </w:p>
    <w:p w14:paraId="39F61DEA">
      <w:pPr>
        <w:spacing w:line="360" w:lineRule="auto"/>
        <w:ind w:firstLine="560"/>
        <w:jc w:val="left"/>
        <w:rPr>
          <w:rFonts w:hint="default" w:ascii="Calibri" w:hAnsi="Calibri" w:eastAsia="Arial" w:cs="Times New Roman"/>
          <w:kern w:val="0"/>
          <w:sz w:val="24"/>
          <w:szCs w:val="24"/>
        </w:rPr>
      </w:pPr>
      <w:bookmarkStart w:id="115" w:name="_Toc49090511"/>
      <w:bookmarkStart w:id="116" w:name="_Toc14577360"/>
      <w:r>
        <w:rPr>
          <w:rFonts w:hint="default" w:ascii="Arial" w:hAnsi="Arial" w:eastAsia="Arial" w:cs="Arial"/>
          <w:color w:val="000000"/>
          <w:kern w:val="0"/>
          <w:sz w:val="24"/>
          <w:szCs w:val="24"/>
        </w:rPr>
        <w:t>16、投标有效期</w:t>
      </w:r>
      <w:bookmarkEnd w:id="115"/>
      <w:bookmarkEnd w:id="116"/>
    </w:p>
    <w:p w14:paraId="640587E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16.1投标有效期为采购人规定的开标之日后</w:t>
      </w:r>
      <w:r>
        <w:rPr>
          <w:rFonts w:hint="eastAsia" w:ascii="仿宋_GB2312" w:hAnsi="Calibri" w:eastAsia="仿宋_GB2312" w:cs="仿宋_GB2312"/>
          <w:b/>
          <w:color w:val="000000"/>
          <w:kern w:val="0"/>
          <w:sz w:val="24"/>
          <w:szCs w:val="24"/>
          <w:u w:val="single"/>
        </w:rPr>
        <w:t>九</w:t>
      </w:r>
      <w:r>
        <w:rPr>
          <w:rFonts w:hint="default" w:ascii="仿宋_GB2312" w:hAnsi="Calibri" w:eastAsia="仿宋_GB2312" w:cs="仿宋_GB2312"/>
          <w:b/>
          <w:color w:val="000000"/>
          <w:kern w:val="0"/>
          <w:sz w:val="24"/>
          <w:szCs w:val="24"/>
          <w:u w:val="single"/>
        </w:rPr>
        <w:t>十（</w:t>
      </w:r>
      <w:r>
        <w:rPr>
          <w:rFonts w:hint="eastAsia" w:ascii="仿宋_GB2312" w:hAnsi="Calibri" w:eastAsia="仿宋_GB2312" w:cs="仿宋_GB2312"/>
          <w:b/>
          <w:color w:val="000000"/>
          <w:kern w:val="0"/>
          <w:sz w:val="24"/>
          <w:szCs w:val="24"/>
          <w:u w:val="single"/>
        </w:rPr>
        <w:t>9</w:t>
      </w:r>
      <w:r>
        <w:rPr>
          <w:rFonts w:hint="default" w:ascii="仿宋_GB2312" w:hAnsi="Calibri" w:eastAsia="仿宋_GB2312" w:cs="仿宋_GB2312"/>
          <w:b/>
          <w:color w:val="000000"/>
          <w:kern w:val="0"/>
          <w:sz w:val="24"/>
          <w:szCs w:val="24"/>
          <w:u w:val="single"/>
        </w:rPr>
        <w:t>0）天</w:t>
      </w:r>
      <w:r>
        <w:rPr>
          <w:rFonts w:hint="eastAsia" w:ascii="宋体" w:hAnsi="宋体" w:eastAsia="宋体" w:cs="宋体"/>
          <w:color w:val="000000"/>
          <w:kern w:val="0"/>
          <w:sz w:val="24"/>
          <w:szCs w:val="24"/>
        </w:rPr>
        <w:t>。投标有效期比规定短的将被视为未实质性响应招标文件而予以拒绝。</w:t>
      </w:r>
    </w:p>
    <w:p w14:paraId="53DEC3A4">
      <w:pPr>
        <w:spacing w:line="360" w:lineRule="auto"/>
        <w:ind w:firstLine="560"/>
        <w:jc w:val="left"/>
        <w:rPr>
          <w:rFonts w:hint="default" w:ascii="Calibri" w:hAnsi="Calibri" w:eastAsia="Arial" w:cs="Times New Roman"/>
          <w:kern w:val="0"/>
          <w:sz w:val="24"/>
          <w:szCs w:val="24"/>
        </w:rPr>
      </w:pPr>
      <w:r>
        <w:rPr>
          <w:rFonts w:hint="default" w:ascii="Arial" w:hAnsi="Arial" w:eastAsia="Arial" w:cs="Arial"/>
          <w:color w:val="000000"/>
          <w:kern w:val="0"/>
          <w:sz w:val="24"/>
          <w:szCs w:val="24"/>
        </w:rPr>
        <w:t>17、投标有效期的延长</w:t>
      </w:r>
    </w:p>
    <w:p w14:paraId="098CFD65">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064FBB47">
      <w:pPr>
        <w:widowControl w:val="0"/>
        <w:spacing w:line="360" w:lineRule="auto"/>
        <w:ind w:firstLine="602"/>
        <w:outlineLvl w:val="1"/>
        <w:rPr>
          <w:rFonts w:hint="default" w:ascii="宋体" w:hAnsi="宋体" w:eastAsia="宋体" w:cs="Times New Roman"/>
          <w:b/>
          <w:bCs/>
          <w:sz w:val="24"/>
          <w:szCs w:val="24"/>
        </w:rPr>
      </w:pPr>
      <w:bookmarkStart w:id="117" w:name="_Toc20823296"/>
      <w:bookmarkStart w:id="118" w:name="_Toc184145583"/>
      <w:bookmarkStart w:id="119" w:name="_Toc16938540"/>
      <w:bookmarkStart w:id="120" w:name="_Toc120614217"/>
      <w:bookmarkStart w:id="121" w:name="_Toc513029224"/>
      <w:bookmarkStart w:id="122" w:name="_Toc211901906"/>
      <w:r>
        <w:rPr>
          <w:rFonts w:hint="eastAsia" w:ascii="宋体" w:hAnsi="宋体" w:eastAsia="宋体" w:cs="Times New Roman"/>
          <w:b/>
          <w:bCs/>
          <w:sz w:val="24"/>
          <w:szCs w:val="24"/>
        </w:rPr>
        <w:t>四、投标文件的递交</w:t>
      </w:r>
      <w:bookmarkEnd w:id="117"/>
      <w:bookmarkEnd w:id="118"/>
      <w:bookmarkEnd w:id="119"/>
      <w:bookmarkEnd w:id="120"/>
      <w:bookmarkEnd w:id="121"/>
      <w:bookmarkEnd w:id="122"/>
    </w:p>
    <w:p w14:paraId="6671E783">
      <w:pPr>
        <w:spacing w:line="360" w:lineRule="auto"/>
        <w:ind w:firstLine="560"/>
        <w:jc w:val="left"/>
        <w:rPr>
          <w:rFonts w:hint="default" w:ascii="Calibri" w:hAnsi="Calibri" w:eastAsia="Arial" w:cs="Times New Roman"/>
          <w:kern w:val="0"/>
          <w:sz w:val="24"/>
          <w:szCs w:val="24"/>
        </w:rPr>
      </w:pPr>
      <w:bookmarkStart w:id="123" w:name="_Toc20823297"/>
      <w:bookmarkStart w:id="124" w:name="_Toc513029225"/>
      <w:bookmarkStart w:id="125" w:name="_Toc16938541"/>
      <w:bookmarkStart w:id="126" w:name="_Toc462564084"/>
      <w:r>
        <w:rPr>
          <w:rFonts w:hint="default" w:ascii="Arial" w:hAnsi="Arial" w:eastAsia="Arial" w:cs="Arial"/>
          <w:color w:val="000000"/>
          <w:kern w:val="0"/>
          <w:sz w:val="24"/>
          <w:szCs w:val="24"/>
        </w:rPr>
        <w:t>18、电子</w:t>
      </w:r>
      <w:r>
        <w:rPr>
          <w:rFonts w:hint="eastAsia" w:ascii="黑体" w:hAnsi="宋体" w:eastAsia="黑体" w:cs="黑体"/>
          <w:color w:val="000000"/>
          <w:kern w:val="0"/>
          <w:sz w:val="24"/>
          <w:szCs w:val="24"/>
        </w:rPr>
        <w:t>投标文件</w:t>
      </w:r>
      <w:bookmarkEnd w:id="123"/>
      <w:bookmarkEnd w:id="124"/>
      <w:bookmarkEnd w:id="125"/>
      <w:bookmarkEnd w:id="126"/>
      <w:r>
        <w:rPr>
          <w:rFonts w:hint="eastAsia" w:ascii="黑体" w:hAnsi="宋体" w:eastAsia="黑体" w:cs="黑体"/>
          <w:color w:val="000000"/>
          <w:kern w:val="0"/>
          <w:sz w:val="24"/>
          <w:szCs w:val="24"/>
        </w:rPr>
        <w:t>的递交</w:t>
      </w:r>
    </w:p>
    <w:p w14:paraId="37E76159">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18.1投标人应当按照《操作手册》规定，在投标截止时间前制作并上传电子投标</w:t>
      </w:r>
    </w:p>
    <w:p w14:paraId="7C29C0A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文件。</w:t>
      </w:r>
      <w:bookmarkStart w:id="127" w:name="_Toc20823298"/>
      <w:bookmarkEnd w:id="127"/>
      <w:bookmarkStart w:id="128" w:name="_Toc16938542"/>
      <w:bookmarkEnd w:id="128"/>
    </w:p>
    <w:p w14:paraId="4973BFD9">
      <w:pPr>
        <w:spacing w:line="360" w:lineRule="auto"/>
        <w:ind w:firstLine="560"/>
        <w:jc w:val="left"/>
        <w:rPr>
          <w:rFonts w:hint="default" w:ascii="Calibri" w:hAnsi="Calibri" w:eastAsia="Arial" w:cs="Times New Roman"/>
          <w:kern w:val="0"/>
          <w:sz w:val="24"/>
          <w:szCs w:val="24"/>
        </w:rPr>
      </w:pPr>
      <w:r>
        <w:rPr>
          <w:rFonts w:hint="default" w:ascii="Arial" w:hAnsi="Arial" w:eastAsia="Arial" w:cs="Arial"/>
          <w:color w:val="000000"/>
          <w:kern w:val="0"/>
          <w:sz w:val="24"/>
          <w:szCs w:val="24"/>
        </w:rPr>
        <w:t>19、投标截止日期</w:t>
      </w:r>
    </w:p>
    <w:p w14:paraId="113B7A73">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19.1 投标人上传电子投标文件的时间不得迟于招标公告中规定的投标截止时间。</w:t>
      </w:r>
    </w:p>
    <w:p w14:paraId="592AEFC1">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投标人应充分考虑到网络环境、网络带宽等风险因素，如因投标人自身原因造成的电子投标文件上传不成功的按照本招标文件第二章第27.1.2条规定做无效投标处理。</w:t>
      </w:r>
    </w:p>
    <w:p w14:paraId="7E75B181">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19.2 采购人可以按照规定，通过修改招标文件酌情延长投标截止日期，在此情况下，投标人的所有权利和义务以及投标人受制的截止日期均应以延长后新的截止日期为准。</w:t>
      </w:r>
    </w:p>
    <w:p w14:paraId="255E77B7">
      <w:pPr>
        <w:spacing w:line="360" w:lineRule="auto"/>
        <w:ind w:firstLine="560"/>
        <w:jc w:val="left"/>
        <w:rPr>
          <w:rFonts w:hint="default" w:ascii="Calibri" w:hAnsi="Calibri" w:eastAsia="Arial" w:cs="Times New Roman"/>
          <w:kern w:val="0"/>
          <w:sz w:val="24"/>
          <w:szCs w:val="24"/>
        </w:rPr>
      </w:pPr>
      <w:bookmarkStart w:id="129" w:name="_Toc513029227"/>
      <w:bookmarkStart w:id="130" w:name="_Toc16938543"/>
      <w:bookmarkStart w:id="131" w:name="_Toc20823299"/>
      <w:r>
        <w:rPr>
          <w:rFonts w:hint="default" w:ascii="Arial" w:hAnsi="Arial" w:eastAsia="Arial" w:cs="Arial"/>
          <w:color w:val="000000"/>
          <w:kern w:val="0"/>
          <w:sz w:val="24"/>
          <w:szCs w:val="24"/>
        </w:rPr>
        <w:t>20、投标文件</w:t>
      </w:r>
      <w:bookmarkEnd w:id="129"/>
      <w:bookmarkEnd w:id="130"/>
      <w:bookmarkEnd w:id="131"/>
      <w:r>
        <w:rPr>
          <w:rFonts w:hint="default" w:ascii="Arial" w:hAnsi="Arial" w:eastAsia="Arial" w:cs="Arial"/>
          <w:color w:val="000000"/>
          <w:kern w:val="0"/>
          <w:sz w:val="24"/>
          <w:szCs w:val="24"/>
        </w:rPr>
        <w:t>的拒收</w:t>
      </w:r>
    </w:p>
    <w:p w14:paraId="2B789C78">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20.1 采购人拒绝接收在其规定的投标截止时间后上传的任何投标文件。</w:t>
      </w:r>
    </w:p>
    <w:p w14:paraId="0CFAD83E">
      <w:pPr>
        <w:spacing w:line="360" w:lineRule="auto"/>
        <w:ind w:firstLine="560"/>
        <w:jc w:val="left"/>
        <w:rPr>
          <w:rFonts w:hint="default" w:ascii="Calibri" w:hAnsi="Calibri" w:eastAsia="Arial" w:cs="Times New Roman"/>
          <w:kern w:val="0"/>
          <w:sz w:val="24"/>
          <w:szCs w:val="24"/>
        </w:rPr>
      </w:pPr>
      <w:bookmarkStart w:id="132" w:name="_Toc20823300"/>
      <w:bookmarkStart w:id="133" w:name="_Toc16938544"/>
      <w:bookmarkStart w:id="134" w:name="_Toc513029228"/>
      <w:r>
        <w:rPr>
          <w:rFonts w:hint="default" w:ascii="Arial" w:hAnsi="Arial" w:eastAsia="Arial" w:cs="Arial"/>
          <w:color w:val="000000"/>
          <w:kern w:val="0"/>
          <w:sz w:val="24"/>
          <w:szCs w:val="24"/>
        </w:rPr>
        <w:t>21、投标文件的撤回和修改</w:t>
      </w:r>
      <w:bookmarkEnd w:id="132"/>
      <w:bookmarkEnd w:id="133"/>
      <w:bookmarkEnd w:id="134"/>
    </w:p>
    <w:p w14:paraId="6E85E258">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21.1 投标文件的撤回</w:t>
      </w:r>
    </w:p>
    <w:p w14:paraId="7F39F9E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21.1.1 电子投标文件的撤回</w:t>
      </w:r>
    </w:p>
    <w:p w14:paraId="41D06E76">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投标人可在投标截止时间前，撤回其电子投标文件，具体操作方法见《操作手册》。</w:t>
      </w:r>
    </w:p>
    <w:p w14:paraId="72175D42">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21.1.2 投标人撤回电子投标文件，则认为其不再参与本项目投标活动。</w:t>
      </w:r>
    </w:p>
    <w:p w14:paraId="5CDD2DF9">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21.2 投标文件的修改</w:t>
      </w:r>
    </w:p>
    <w:p w14:paraId="25F26FD1">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21.2.1投标人可在投标截止时间前，对其电子投标文件进行修改，具体操作方法见《操作手册》。</w:t>
      </w:r>
    </w:p>
    <w:p w14:paraId="0053D42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21.2.2 在投标截止时间之后，投标人不得对其电子投标文件作任何修改。</w:t>
      </w:r>
    </w:p>
    <w:p w14:paraId="0B6E097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21.3 在投标截止时间至招标文件中规定的投标有效期满之间的这段时间内，投标人不得撤回其投标。</w:t>
      </w:r>
    </w:p>
    <w:p w14:paraId="32520328">
      <w:pPr>
        <w:widowControl w:val="0"/>
        <w:spacing w:line="360" w:lineRule="auto"/>
        <w:ind w:firstLine="602"/>
        <w:outlineLvl w:val="1"/>
        <w:rPr>
          <w:rFonts w:hint="default" w:ascii="宋体" w:hAnsi="宋体" w:eastAsia="宋体" w:cs="Times New Roman"/>
          <w:b/>
          <w:bCs/>
          <w:sz w:val="24"/>
          <w:szCs w:val="24"/>
        </w:rPr>
      </w:pPr>
      <w:bookmarkStart w:id="135" w:name="_Toc120614218"/>
      <w:bookmarkStart w:id="136" w:name="_Toc513029229"/>
      <w:bookmarkStart w:id="137" w:name="_Toc16938545"/>
      <w:bookmarkStart w:id="138" w:name="_Toc184145584"/>
      <w:bookmarkStart w:id="139" w:name="_Toc20823301"/>
      <w:bookmarkStart w:id="140" w:name="_Toc211901907"/>
      <w:r>
        <w:rPr>
          <w:rFonts w:hint="eastAsia" w:ascii="宋体" w:hAnsi="宋体" w:eastAsia="宋体" w:cs="Times New Roman"/>
          <w:b/>
          <w:bCs/>
          <w:sz w:val="24"/>
          <w:szCs w:val="24"/>
        </w:rPr>
        <w:t>五、开标与评标</w:t>
      </w:r>
      <w:bookmarkEnd w:id="135"/>
      <w:bookmarkEnd w:id="136"/>
      <w:bookmarkEnd w:id="137"/>
      <w:bookmarkEnd w:id="138"/>
      <w:bookmarkEnd w:id="139"/>
      <w:bookmarkEnd w:id="140"/>
    </w:p>
    <w:p w14:paraId="11F4A61B">
      <w:pPr>
        <w:spacing w:line="360" w:lineRule="auto"/>
        <w:ind w:firstLine="560"/>
        <w:jc w:val="left"/>
        <w:rPr>
          <w:rFonts w:hint="default" w:ascii="Calibri" w:hAnsi="Calibri" w:eastAsia="Arial" w:cs="Times New Roman"/>
          <w:kern w:val="0"/>
          <w:sz w:val="24"/>
          <w:szCs w:val="24"/>
        </w:rPr>
      </w:pPr>
      <w:bookmarkStart w:id="141" w:name="_Toc16938546"/>
      <w:bookmarkStart w:id="142" w:name="_Toc513029230"/>
      <w:bookmarkStart w:id="143" w:name="_Toc20823302"/>
      <w:r>
        <w:rPr>
          <w:rFonts w:hint="default" w:ascii="Arial" w:hAnsi="Arial" w:eastAsia="Arial" w:cs="Arial"/>
          <w:color w:val="000000"/>
          <w:kern w:val="0"/>
          <w:sz w:val="24"/>
          <w:szCs w:val="24"/>
        </w:rPr>
        <w:t>22、开标</w:t>
      </w:r>
      <w:bookmarkEnd w:id="141"/>
      <w:bookmarkEnd w:id="142"/>
      <w:bookmarkEnd w:id="143"/>
    </w:p>
    <w:p w14:paraId="466612B8">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22.1 采购人将在招标公告中规定的时间和地点组织公开开标。投标人应当按照《操作手册》规定，参加开标活动</w:t>
      </w:r>
      <w:r>
        <w:rPr>
          <w:rFonts w:hint="eastAsia" w:ascii="宋体" w:hAnsi="宋体" w:eastAsia="宋体" w:cs="宋体"/>
          <w:kern w:val="0"/>
          <w:sz w:val="24"/>
          <w:szCs w:val="24"/>
        </w:rPr>
        <w:t>和在苏采云系统规定的时间内对投标文件进行解密。</w:t>
      </w:r>
    </w:p>
    <w:p w14:paraId="191D7B5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22.2开标仪式由采购人组织。苏采云系统将自动对项目进行开标，并宣布各投标人名称和投标价格。</w:t>
      </w:r>
    </w:p>
    <w:p w14:paraId="51824995">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22.3投标人在开标过程中涉及到的投标文件解密、开标结果确认等工作，应按照《操作手册》规定执行。</w:t>
      </w:r>
    </w:p>
    <w:p w14:paraId="218441B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22.4投标人如果对开标过程和开标记录有疑义，应当根据《操作手册》规定提出，如 苏采云系统中《开标记录表》宣布后5分钟内未提出的</w:t>
      </w:r>
      <w:r>
        <w:rPr>
          <w:rFonts w:hint="eastAsia" w:ascii="宋体" w:hAnsi="宋体" w:eastAsia="宋体" w:cs="宋体"/>
          <w:color w:val="000000"/>
          <w:kern w:val="0"/>
          <w:sz w:val="24"/>
          <w:szCs w:val="24"/>
        </w:rPr>
        <w:t>，视同认可开标结果。</w:t>
      </w:r>
    </w:p>
    <w:p w14:paraId="29964634">
      <w:pPr>
        <w:spacing w:line="360" w:lineRule="auto"/>
        <w:ind w:firstLine="560"/>
        <w:jc w:val="left"/>
        <w:rPr>
          <w:rFonts w:hint="default" w:ascii="Calibri" w:hAnsi="Calibri" w:eastAsia="Arial" w:cs="Times New Roman"/>
          <w:kern w:val="0"/>
          <w:sz w:val="24"/>
          <w:szCs w:val="24"/>
        </w:rPr>
      </w:pPr>
      <w:bookmarkStart w:id="144" w:name="_Toc16938547"/>
      <w:bookmarkStart w:id="145" w:name="_Toc20823303"/>
      <w:bookmarkStart w:id="146" w:name="_Toc513029231"/>
      <w:r>
        <w:rPr>
          <w:rFonts w:hint="default" w:ascii="Arial" w:hAnsi="Arial" w:eastAsia="Arial" w:cs="Arial"/>
          <w:color w:val="000000"/>
          <w:kern w:val="0"/>
          <w:sz w:val="24"/>
          <w:szCs w:val="24"/>
        </w:rPr>
        <w:t>23、评标委员会</w:t>
      </w:r>
      <w:bookmarkEnd w:id="144"/>
      <w:bookmarkEnd w:id="145"/>
      <w:bookmarkEnd w:id="146"/>
    </w:p>
    <w:p w14:paraId="0A95D70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23.1</w:t>
      </w:r>
      <w:r>
        <w:rPr>
          <w:rFonts w:hint="eastAsia" w:ascii="宋体" w:hAnsi="宋体" w:eastAsia="宋体" w:cs="宋体"/>
          <w:b/>
          <w:color w:val="000000"/>
          <w:kern w:val="0"/>
          <w:sz w:val="24"/>
          <w:szCs w:val="24"/>
        </w:rPr>
        <w:t> </w:t>
      </w:r>
      <w:r>
        <w:rPr>
          <w:rFonts w:hint="eastAsia" w:ascii="宋体" w:hAnsi="宋体" w:eastAsia="宋体" w:cs="宋体"/>
          <w:color w:val="000000"/>
          <w:kern w:val="0"/>
          <w:sz w:val="24"/>
          <w:szCs w:val="24"/>
        </w:rPr>
        <w:t>开标后，采购人将立即组织评标委员会（以下简称评委会）进行评标。</w:t>
      </w:r>
    </w:p>
    <w:p w14:paraId="18484BA1">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23.2 评委会由采购人代表和有关技术、经济等方面的专家组成，且人员构成符合政府采购有关规定。</w:t>
      </w:r>
    </w:p>
    <w:p w14:paraId="47A11271">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23.3评委会独立工作，负责评审所有投标文件并确定中标侯选人。</w:t>
      </w:r>
    </w:p>
    <w:p w14:paraId="49F7511C">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24．评标过程的保密与公正</w:t>
      </w:r>
    </w:p>
    <w:p w14:paraId="0832123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24.1凡是与审查、澄清、评价和比较投标的有关资料以及授标建议等，采购人、评委、采购人均不得向投标人或与评标无关的其他人员透露。</w:t>
      </w:r>
    </w:p>
    <w:p w14:paraId="6D3480F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24.2在评标过程中，投标人不得以任何行为影响评标过程，否则其投标文件将被作为无效投标文件。</w:t>
      </w:r>
    </w:p>
    <w:p w14:paraId="35937F9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24.3 采购人和评标委员会不向未中标的投标人解释未中标原因，也不公布评标过程中的相关</w:t>
      </w:r>
      <w:r>
        <w:rPr>
          <w:rFonts w:hint="eastAsia" w:ascii="宋体" w:hAnsi="宋体" w:eastAsia="宋体" w:cs="宋体"/>
          <w:kern w:val="0"/>
          <w:sz w:val="24"/>
          <w:szCs w:val="24"/>
        </w:rPr>
        <w:t>细节。</w:t>
      </w:r>
    </w:p>
    <w:p w14:paraId="77F9C9E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24.4 采用综合评分法的项目，未中标的投标人可于中标结果公告期限届满之日起通过苏采云系统查看自己的评审得分及</w:t>
      </w:r>
      <w:r>
        <w:rPr>
          <w:rFonts w:hint="eastAsia" w:ascii="宋体" w:hAnsi="宋体" w:eastAsia="宋体" w:cs="宋体"/>
          <w:color w:val="000000"/>
          <w:kern w:val="0"/>
          <w:sz w:val="24"/>
          <w:szCs w:val="24"/>
        </w:rPr>
        <w:t>排序情况。</w:t>
      </w:r>
    </w:p>
    <w:p w14:paraId="70A632C4">
      <w:pPr>
        <w:spacing w:line="360" w:lineRule="auto"/>
        <w:ind w:firstLine="560"/>
        <w:jc w:val="left"/>
        <w:rPr>
          <w:rFonts w:hint="default" w:ascii="Calibri" w:hAnsi="Calibri" w:eastAsia="Arial" w:cs="Times New Roman"/>
          <w:kern w:val="0"/>
          <w:sz w:val="24"/>
          <w:szCs w:val="24"/>
        </w:rPr>
      </w:pPr>
      <w:bookmarkStart w:id="147" w:name="_Toc513029232"/>
      <w:bookmarkStart w:id="148" w:name="_Toc16938548"/>
      <w:bookmarkStart w:id="149" w:name="_Toc20823304"/>
      <w:r>
        <w:rPr>
          <w:rFonts w:hint="default" w:ascii="Arial" w:hAnsi="Arial" w:eastAsia="Arial" w:cs="Arial"/>
          <w:color w:val="000000"/>
          <w:kern w:val="0"/>
          <w:sz w:val="24"/>
          <w:szCs w:val="24"/>
        </w:rPr>
        <w:t>25．投标文件的澄清</w:t>
      </w:r>
      <w:bookmarkEnd w:id="147"/>
      <w:bookmarkEnd w:id="148"/>
      <w:bookmarkEnd w:id="149"/>
    </w:p>
    <w:p w14:paraId="520EC742">
      <w:pPr>
        <w:spacing w:line="360" w:lineRule="auto"/>
        <w:ind w:firstLine="560"/>
        <w:jc w:val="left"/>
        <w:rPr>
          <w:rFonts w:hint="default" w:ascii="Calibri" w:hAnsi="Calibri" w:eastAsia="Arial" w:cs="Times New Roman"/>
          <w:kern w:val="0"/>
          <w:sz w:val="24"/>
          <w:szCs w:val="24"/>
        </w:rPr>
      </w:pPr>
      <w:bookmarkStart w:id="150" w:name="_Toc20823305"/>
      <w:bookmarkStart w:id="151" w:name="_Toc16938549"/>
      <w:bookmarkStart w:id="152" w:name="_Toc513029233"/>
      <w:r>
        <w:rPr>
          <w:rFonts w:hint="eastAsia" w:ascii="宋体" w:hAnsi="宋体" w:eastAsia="宋体" w:cs="宋体"/>
          <w:color w:val="000000"/>
          <w:kern w:val="0"/>
          <w:sz w:val="24"/>
          <w:szCs w:val="24"/>
        </w:rPr>
        <w:t>25.1评标期间，评委会对投标文件中含义不明确、同类问题表述不一致或者有明显文字和计算错误的内容 ，有权要求投标人作出必要的澄清、说明或者补正。</w:t>
      </w:r>
      <w:bookmarkEnd w:id="150"/>
      <w:bookmarkEnd w:id="151"/>
      <w:bookmarkEnd w:id="152"/>
    </w:p>
    <w:p w14:paraId="4E87C08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投标人的澄清、说明或者补正不得超出投标文件的范围或者改变投标文件的实质性内容。</w:t>
      </w:r>
    </w:p>
    <w:p w14:paraId="3B9C1E7E">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评标委员会并非对每个投标人都做澄清要求。</w:t>
      </w:r>
    </w:p>
    <w:p w14:paraId="58EE93B2">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7C71550">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25.3 接到评委会澄清、说明和补正要求的投标人如未按规定做出澄清、</w:t>
      </w:r>
      <w:r>
        <w:rPr>
          <w:rFonts w:hint="eastAsia" w:ascii="宋体" w:hAnsi="宋体" w:eastAsia="宋体" w:cs="宋体"/>
          <w:color w:val="000000"/>
          <w:kern w:val="0"/>
          <w:sz w:val="24"/>
          <w:szCs w:val="24"/>
        </w:rPr>
        <w:t>说明和补正，其风险由投标人自行承担。</w:t>
      </w:r>
    </w:p>
    <w:p w14:paraId="73534046">
      <w:pPr>
        <w:spacing w:line="360" w:lineRule="auto"/>
        <w:ind w:firstLine="560"/>
        <w:jc w:val="left"/>
        <w:rPr>
          <w:rFonts w:hint="default" w:ascii="Calibri" w:hAnsi="Calibri" w:eastAsia="Arial" w:cs="Times New Roman"/>
          <w:kern w:val="0"/>
          <w:sz w:val="24"/>
          <w:szCs w:val="24"/>
        </w:rPr>
      </w:pPr>
      <w:r>
        <w:rPr>
          <w:rFonts w:hint="default" w:ascii="Arial" w:hAnsi="Arial" w:eastAsia="Arial" w:cs="Arial"/>
          <w:color w:val="000000"/>
          <w:kern w:val="0"/>
          <w:sz w:val="24"/>
          <w:szCs w:val="24"/>
        </w:rPr>
        <w:t>26、对投标文件的初审</w:t>
      </w:r>
    </w:p>
    <w:p w14:paraId="66868090">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26.1投标文件初审分为资格审查和符合性审查。</w:t>
      </w:r>
    </w:p>
    <w:p w14:paraId="742F0DDE">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26.1.1 资格审查：依据法律法规和招标文件的规定，由采购人对投标文件中的资格证明文件进行审查。资格审查的结论，采购人以书面形式向评委会进行反馈。</w:t>
      </w:r>
    </w:p>
    <w:p w14:paraId="761395A7">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采购人在进行资格性审查的同时，将在“信用中国”网站（www.creditchina.gov.cn）查询投标人的信用记录，以确定投标人是否具备投标资格,查询结果留存并归档。</w:t>
      </w:r>
    </w:p>
    <w:p w14:paraId="246CCC5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4CE9BEE">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26.1.2 符合性审查：依据招标文件的规定，由评委会从投标文件的有效性、完整性和对招标文件的响应程度进行审查，以确定是否对招标文件的实质性要求作出响应。</w:t>
      </w:r>
    </w:p>
    <w:p w14:paraId="7D56036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26.1.3 未通过资格审查或符合性审查的投标人，采购人将</w:t>
      </w:r>
      <w:r>
        <w:rPr>
          <w:rFonts w:hint="eastAsia" w:ascii="宋体" w:hAnsi="宋体" w:eastAsia="宋体" w:cs="宋体"/>
          <w:kern w:val="0"/>
          <w:sz w:val="24"/>
          <w:szCs w:val="24"/>
        </w:rPr>
        <w:t>在苏采云系统中告知未通过资格审查或符合性审查的原因，评审结束后，采购人将不再告知未通过资格审查或符合性审查的原因。</w:t>
      </w:r>
    </w:p>
    <w:p w14:paraId="40A9A48D">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5C48F298">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B894BE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26.3如果投标文件实质上没有响应招标文件的要求，评委会将予以拒绝，投标人不得通过修改或撤销不合要求的偏离或保留而使其投标成为实质性响应的投标。</w:t>
      </w:r>
    </w:p>
    <w:p w14:paraId="0A588596">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26.4评委会将对确定为实质性响应的投标进行进一步审核，看其是否有计算上或累加上的算术错误，修正错误的原则如下：</w:t>
      </w:r>
    </w:p>
    <w:p w14:paraId="19F0B91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（1）投标文件中开标一览表内容与投标文件中相应内容不一致的，以开标一览表为准。</w:t>
      </w:r>
    </w:p>
    <w:p w14:paraId="4A3260E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（2）大写金额和小写金额不一致的，以大写金额为准。</w:t>
      </w:r>
    </w:p>
    <w:p w14:paraId="32C8D37E">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（3）单价金额小数点或者百分比有明显错位的，以开标一览表的总价为准，并修改单价。</w:t>
      </w:r>
    </w:p>
    <w:p w14:paraId="1DB1484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（4）总价金额与按单价汇总金额不一致的，以单价金额计算结果为准。</w:t>
      </w:r>
    </w:p>
    <w:p w14:paraId="11B9FBA0">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同时出现两种以上错误的，按照前款规定的顺序修正。</w:t>
      </w:r>
    </w:p>
    <w:p w14:paraId="5F56B5D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26.5评委会将按上述修正错误的方法调整投标文件中的投标报价，并通过苏采云系统告知投标人，调整后的价格应对投标人具有约束力。如果投标人不接受修正后的价格，则其投标将被拒绝。</w:t>
      </w:r>
    </w:p>
    <w:p w14:paraId="5A323A87">
      <w:pPr>
        <w:spacing w:line="360" w:lineRule="auto"/>
        <w:ind w:firstLine="560"/>
        <w:jc w:val="left"/>
        <w:rPr>
          <w:rFonts w:hint="default" w:ascii="Calibri" w:hAnsi="Calibri" w:eastAsia="Arial" w:cs="Times New Roman"/>
          <w:kern w:val="0"/>
          <w:sz w:val="24"/>
          <w:szCs w:val="24"/>
        </w:rPr>
      </w:pPr>
      <w:bookmarkStart w:id="153" w:name="_Toc20823306"/>
      <w:bookmarkStart w:id="154" w:name="_Toc16938550"/>
      <w:bookmarkStart w:id="155" w:name="_Toc513029234"/>
      <w:r>
        <w:rPr>
          <w:rFonts w:hint="eastAsia" w:ascii="宋体" w:hAnsi="宋体" w:eastAsia="宋体" w:cs="宋体"/>
          <w:color w:val="000000"/>
          <w:kern w:val="0"/>
          <w:sz w:val="24"/>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3"/>
      <w:bookmarkEnd w:id="154"/>
      <w:bookmarkEnd w:id="155"/>
    </w:p>
    <w:p w14:paraId="231A3625">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A820DE9">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非单一产品采购项目，招标文件中将载明其中的核心产品。多家投标人提供的核心产品品牌相同的，按前两款规定处理。</w:t>
      </w:r>
    </w:p>
    <w:p w14:paraId="0F97A957">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26.7投标人在开、评标全过程中应保持通讯畅通，及时登录苏采云系统查阅、答复相关信息，并安排专人与采购人及评标委员会联系。</w:t>
      </w:r>
    </w:p>
    <w:p w14:paraId="50693925">
      <w:pPr>
        <w:spacing w:line="360" w:lineRule="auto"/>
        <w:ind w:firstLine="560"/>
        <w:jc w:val="left"/>
        <w:rPr>
          <w:rFonts w:hint="default" w:ascii="Calibri" w:hAnsi="Calibri" w:eastAsia="Arial" w:cs="Times New Roman"/>
          <w:kern w:val="0"/>
          <w:sz w:val="24"/>
          <w:szCs w:val="24"/>
        </w:rPr>
      </w:pPr>
      <w:r>
        <w:rPr>
          <w:rFonts w:hint="default" w:ascii="Arial" w:hAnsi="Arial" w:eastAsia="Arial" w:cs="Arial"/>
          <w:kern w:val="0"/>
          <w:sz w:val="24"/>
          <w:szCs w:val="24"/>
        </w:rPr>
        <w:t>27、无效投标条款和废标条款</w:t>
      </w:r>
    </w:p>
    <w:p w14:paraId="0C2AC3A8">
      <w:pPr>
        <w:spacing w:line="360" w:lineRule="auto"/>
        <w:ind w:firstLine="560"/>
        <w:jc w:val="left"/>
        <w:rPr>
          <w:rFonts w:hint="default" w:ascii="Calibri" w:hAnsi="Calibri" w:eastAsia="Arial" w:cs="Times New Roman"/>
          <w:kern w:val="0"/>
          <w:sz w:val="24"/>
          <w:szCs w:val="24"/>
        </w:rPr>
      </w:pPr>
      <w:bookmarkStart w:id="156" w:name="_Toc20823307"/>
      <w:bookmarkStart w:id="157" w:name="_Toc513029235"/>
      <w:bookmarkStart w:id="158" w:name="_Toc16938551"/>
      <w:r>
        <w:rPr>
          <w:rFonts w:hint="eastAsia" w:ascii="宋体" w:hAnsi="宋体" w:eastAsia="宋体" w:cs="宋体"/>
          <w:kern w:val="0"/>
          <w:sz w:val="24"/>
          <w:szCs w:val="24"/>
        </w:rPr>
        <w:t>27.1无效投标条款</w:t>
      </w:r>
      <w:bookmarkEnd w:id="156"/>
      <w:bookmarkEnd w:id="157"/>
      <w:bookmarkEnd w:id="158"/>
    </w:p>
    <w:p w14:paraId="2ADBE557">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27.1.1 投标人在苏采云系统规定的时间内未成功解密电子投标文件的。</w:t>
      </w:r>
    </w:p>
    <w:p w14:paraId="3E8789E7">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27.1.2 投标人未按照招标文件要求上传电子投标文件的。</w:t>
      </w:r>
    </w:p>
    <w:p w14:paraId="576DF6E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27.1.3同一投标人提交两个（含两个）以上不同的投标报价的。</w:t>
      </w:r>
    </w:p>
    <w:p w14:paraId="7910ACE0">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27.1.4投标人不具备招标文件中规定资格要求的。</w:t>
      </w:r>
    </w:p>
    <w:p w14:paraId="4E7479F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27.1.5投标人的报价超过了采购预算或最高限价的。</w:t>
      </w:r>
    </w:p>
    <w:p w14:paraId="67EF861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27.1.6未通过符合性审查的。</w:t>
      </w:r>
    </w:p>
    <w:p w14:paraId="3836527A">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27.1.7不符合招标文件中规定的实质性要求和条件的.</w:t>
      </w:r>
    </w:p>
    <w:p w14:paraId="7B93679D">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41BF57D">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27.1.9  投标文件含有采购人不能接受的附加条件的。</w:t>
      </w:r>
    </w:p>
    <w:p w14:paraId="23F7C472">
      <w:pPr>
        <w:spacing w:line="360" w:lineRule="auto"/>
        <w:ind w:firstLine="562"/>
        <w:jc w:val="left"/>
        <w:rPr>
          <w:rFonts w:hint="default" w:ascii="宋体" w:hAnsi="宋体" w:eastAsia="宋体" w:cs="宋体"/>
          <w:b/>
          <w:bCs/>
          <w:color w:val="0070C0"/>
          <w:kern w:val="0"/>
          <w:sz w:val="24"/>
          <w:szCs w:val="24"/>
        </w:rPr>
      </w:pPr>
      <w:r>
        <w:rPr>
          <w:rFonts w:hint="eastAsia" w:ascii="宋体" w:hAnsi="宋体" w:eastAsia="宋体" w:cs="宋体"/>
          <w:b/>
          <w:bCs/>
          <w:color w:val="0070C0"/>
          <w:kern w:val="0"/>
          <w:sz w:val="24"/>
          <w:szCs w:val="24"/>
        </w:rPr>
        <w:t>27.1.10投标人不能证明其报价合理性的，评标委员会应当将其作为无效投标处理。</w:t>
      </w:r>
    </w:p>
    <w:p w14:paraId="4D22BA37">
      <w:pPr>
        <w:spacing w:line="360" w:lineRule="auto"/>
        <w:ind w:firstLine="562"/>
        <w:jc w:val="left"/>
        <w:rPr>
          <w:rFonts w:hint="default" w:ascii="宋体" w:hAnsi="宋体" w:eastAsia="宋体" w:cs="宋体"/>
          <w:b/>
          <w:bCs/>
          <w:color w:val="0070C0"/>
          <w:kern w:val="0"/>
          <w:sz w:val="24"/>
          <w:szCs w:val="24"/>
        </w:rPr>
      </w:pPr>
      <w:r>
        <w:rPr>
          <w:rFonts w:hint="eastAsia" w:ascii="宋体" w:hAnsi="宋体" w:eastAsia="宋体" w:cs="宋体"/>
          <w:b/>
          <w:bCs/>
          <w:color w:val="0070C0"/>
          <w:kern w:val="0"/>
          <w:sz w:val="24"/>
          <w:szCs w:val="24"/>
        </w:rPr>
        <w:t>（一）评审过程中出现下列情形之一的，评标委员会应当启动异常低价投标审查程序：</w:t>
      </w:r>
    </w:p>
    <w:p w14:paraId="73F35FB0">
      <w:pPr>
        <w:spacing w:line="360" w:lineRule="auto"/>
        <w:ind w:firstLine="562"/>
        <w:jc w:val="left"/>
        <w:rPr>
          <w:rFonts w:hint="default" w:ascii="宋体" w:hAnsi="宋体" w:eastAsia="宋体" w:cs="宋体"/>
          <w:b/>
          <w:bCs/>
          <w:color w:val="0070C0"/>
          <w:kern w:val="0"/>
          <w:sz w:val="24"/>
          <w:szCs w:val="24"/>
        </w:rPr>
      </w:pPr>
      <w:r>
        <w:rPr>
          <w:rFonts w:hint="eastAsia" w:ascii="宋体" w:hAnsi="宋体" w:eastAsia="宋体" w:cs="宋体"/>
          <w:b/>
          <w:bCs/>
          <w:color w:val="0070C0"/>
          <w:kern w:val="0"/>
          <w:sz w:val="24"/>
          <w:szCs w:val="24"/>
        </w:rPr>
        <w:t>1.投标报价低于采购项目预算50%的，即投标报价&lt;采购项目预算×50%；</w:t>
      </w:r>
    </w:p>
    <w:p w14:paraId="4FBC96FF">
      <w:pPr>
        <w:spacing w:line="360" w:lineRule="auto"/>
        <w:ind w:firstLine="562"/>
        <w:jc w:val="left"/>
        <w:rPr>
          <w:rFonts w:hint="default" w:ascii="宋体" w:hAnsi="宋体" w:eastAsia="宋体" w:cs="宋体"/>
          <w:b/>
          <w:bCs/>
          <w:color w:val="0070C0"/>
          <w:kern w:val="0"/>
          <w:sz w:val="24"/>
          <w:szCs w:val="24"/>
        </w:rPr>
      </w:pPr>
      <w:r>
        <w:rPr>
          <w:rFonts w:hint="eastAsia" w:ascii="宋体" w:hAnsi="宋体" w:eastAsia="宋体" w:cs="宋体"/>
          <w:b/>
          <w:bCs/>
          <w:color w:val="0070C0"/>
          <w:kern w:val="0"/>
          <w:sz w:val="24"/>
          <w:szCs w:val="24"/>
        </w:rPr>
        <w:t>2.投标报价低于采购项目最高限价45%的，即投标报价&lt;采购项目最高限价×45%；</w:t>
      </w:r>
    </w:p>
    <w:p w14:paraId="4AA6F2B8">
      <w:pPr>
        <w:spacing w:line="360" w:lineRule="auto"/>
        <w:ind w:firstLine="562"/>
        <w:jc w:val="left"/>
        <w:rPr>
          <w:rFonts w:hint="default" w:ascii="宋体" w:hAnsi="宋体" w:eastAsia="宋体" w:cs="宋体"/>
          <w:b/>
          <w:bCs/>
          <w:color w:val="0070C0"/>
          <w:kern w:val="0"/>
          <w:sz w:val="24"/>
          <w:szCs w:val="24"/>
        </w:rPr>
      </w:pPr>
      <w:r>
        <w:rPr>
          <w:rFonts w:hint="eastAsia" w:ascii="宋体" w:hAnsi="宋体" w:eastAsia="宋体" w:cs="宋体"/>
          <w:b/>
          <w:bCs/>
          <w:color w:val="0070C0"/>
          <w:kern w:val="0"/>
          <w:sz w:val="24"/>
          <w:szCs w:val="24"/>
        </w:rPr>
        <w:t>3.评标委员会认定的供应商报价过低、有可能影响产品质量或者不能诚信履约的其他情形。</w:t>
      </w:r>
    </w:p>
    <w:p w14:paraId="02EE11DD">
      <w:pPr>
        <w:spacing w:line="360" w:lineRule="auto"/>
        <w:ind w:firstLine="562"/>
        <w:jc w:val="left"/>
        <w:rPr>
          <w:rFonts w:hint="default" w:ascii="Calibri" w:hAnsi="Calibri" w:eastAsia="Arial" w:cs="Times New Roman"/>
          <w:kern w:val="0"/>
          <w:sz w:val="24"/>
          <w:szCs w:val="24"/>
        </w:rPr>
      </w:pPr>
      <w:r>
        <w:rPr>
          <w:rFonts w:hint="eastAsia" w:ascii="宋体" w:hAnsi="宋体" w:eastAsia="宋体" w:cs="宋体"/>
          <w:b/>
          <w:bCs/>
          <w:color w:val="0070C0"/>
          <w:kern w:val="0"/>
          <w:sz w:val="24"/>
          <w:szCs w:val="24"/>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71BAEE8D">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27.1.11 本项目采购产品被财政部、国家发展改革委、生态环境部等列入“节能产品品目清单”、“环境标志产品品目清单”强制采购范围，而投标人所投标产品不在强制采购范围内的。（投标</w:t>
      </w:r>
      <w:r>
        <w:rPr>
          <w:rFonts w:hint="eastAsia" w:ascii="宋体" w:hAnsi="宋体" w:eastAsia="宋体" w:cs="宋体"/>
          <w:color w:val="000000"/>
          <w:kern w:val="0"/>
          <w:sz w:val="24"/>
          <w:szCs w:val="24"/>
        </w:rPr>
        <w:t>产品</w:t>
      </w:r>
      <w:r>
        <w:rPr>
          <w:rFonts w:hint="eastAsia" w:ascii="宋体" w:hAnsi="宋体" w:eastAsia="宋体" w:cs="宋体"/>
          <w:kern w:val="0"/>
          <w:sz w:val="24"/>
          <w:szCs w:val="24"/>
        </w:rPr>
        <w:t>如属于政府强制采购节能产品品目清单范围内，投标文件中必须提供国家确定的认证机构出具的、处于有效期之内的该节能产品认证证书图片）</w:t>
      </w:r>
    </w:p>
    <w:p w14:paraId="75B822B4">
      <w:pPr>
        <w:spacing w:line="360" w:lineRule="auto"/>
        <w:ind w:firstLine="560"/>
        <w:jc w:val="left"/>
        <w:rPr>
          <w:rFonts w:hint="default" w:ascii="宋体" w:hAnsi="宋体" w:eastAsia="宋体" w:cs="宋体"/>
          <w:kern w:val="0"/>
          <w:sz w:val="24"/>
          <w:szCs w:val="24"/>
        </w:rPr>
      </w:pPr>
      <w:r>
        <w:rPr>
          <w:rFonts w:hint="eastAsia" w:ascii="宋体" w:hAnsi="宋体" w:eastAsia="宋体" w:cs="宋体"/>
          <w:kern w:val="0"/>
          <w:sz w:val="24"/>
          <w:szCs w:val="24"/>
        </w:rPr>
        <w:t>27.1.12 投标文件未按照招标文件要求加盖CA电子公章的。</w:t>
      </w:r>
    </w:p>
    <w:p w14:paraId="7A29238B">
      <w:pPr>
        <w:spacing w:line="360" w:lineRule="auto"/>
        <w:ind w:firstLine="560"/>
        <w:jc w:val="left"/>
        <w:rPr>
          <w:rFonts w:hint="default"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27.1.13</w:t>
      </w:r>
      <w:bookmarkStart w:id="159" w:name="OLE_LINK4"/>
      <w:bookmarkStart w:id="160" w:name="OLE_LINK3"/>
      <w:r>
        <w:rPr>
          <w:rFonts w:hint="eastAsia" w:ascii="宋体" w:hAnsi="宋体" w:eastAsia="宋体" w:cs="宋体"/>
          <w:b w:val="0"/>
          <w:bCs w:val="0"/>
          <w:color w:val="auto"/>
          <w:kern w:val="0"/>
          <w:sz w:val="24"/>
          <w:szCs w:val="24"/>
          <w:lang w:val="en-US" w:eastAsia="zh-CN"/>
        </w:rPr>
        <w:t xml:space="preserve"> </w:t>
      </w:r>
      <w:r>
        <w:rPr>
          <w:rFonts w:hint="eastAsia" w:ascii="宋体" w:hAnsi="宋体" w:eastAsia="Arial" w:cs="Times New Roman"/>
          <w:b w:val="0"/>
          <w:bCs w:val="0"/>
          <w:color w:val="auto"/>
          <w:kern w:val="0"/>
          <w:sz w:val="24"/>
          <w:szCs w:val="24"/>
        </w:rPr>
        <w:t>本</w:t>
      </w:r>
      <w:r>
        <w:rPr>
          <w:rFonts w:hint="default" w:ascii="宋体" w:hAnsi="宋体" w:eastAsia="Arial" w:cs="Times New Roman"/>
          <w:b w:val="0"/>
          <w:bCs w:val="0"/>
          <w:color w:val="auto"/>
          <w:kern w:val="0"/>
          <w:sz w:val="24"/>
          <w:szCs w:val="24"/>
        </w:rPr>
        <w:t>项目</w:t>
      </w:r>
      <w:r>
        <w:rPr>
          <w:rFonts w:hint="eastAsia" w:ascii="宋体" w:hAnsi="宋体" w:eastAsia="宋体" w:cs="Times New Roman"/>
          <w:b w:val="0"/>
          <w:bCs w:val="0"/>
          <w:color w:val="auto"/>
          <w:kern w:val="0"/>
          <w:sz w:val="24"/>
          <w:szCs w:val="24"/>
          <w:lang w:val="en-US" w:eastAsia="zh-CN"/>
        </w:rPr>
        <w:t>如</w:t>
      </w:r>
      <w:r>
        <w:rPr>
          <w:rFonts w:hint="default" w:ascii="宋体" w:hAnsi="宋体" w:eastAsia="Arial" w:cs="Times New Roman"/>
          <w:b w:val="0"/>
          <w:bCs w:val="0"/>
          <w:color w:val="auto"/>
          <w:kern w:val="0"/>
          <w:sz w:val="24"/>
          <w:szCs w:val="24"/>
        </w:rPr>
        <w:t>为专门面向中小企业采购的项目</w:t>
      </w:r>
      <w:bookmarkEnd w:id="159"/>
      <w:bookmarkEnd w:id="160"/>
      <w:r>
        <w:rPr>
          <w:rFonts w:hint="default" w:ascii="宋体" w:hAnsi="宋体" w:eastAsia="Arial" w:cs="Times New Roman"/>
          <w:b w:val="0"/>
          <w:bCs w:val="0"/>
          <w:color w:val="auto"/>
          <w:kern w:val="0"/>
          <w:sz w:val="24"/>
          <w:szCs w:val="24"/>
        </w:rPr>
        <w:t>,</w:t>
      </w:r>
      <w:r>
        <w:rPr>
          <w:rFonts w:hint="eastAsia" w:ascii="宋体" w:hAnsi="宋体" w:eastAsia="Arial" w:cs="Times New Roman"/>
          <w:b w:val="0"/>
          <w:bCs w:val="0"/>
          <w:color w:val="auto"/>
          <w:kern w:val="0"/>
          <w:sz w:val="24"/>
          <w:szCs w:val="24"/>
        </w:rPr>
        <w:t>所供产品厂商</w:t>
      </w:r>
      <w:r>
        <w:rPr>
          <w:rFonts w:hint="default" w:ascii="宋体" w:hAnsi="宋体" w:eastAsia="Arial" w:cs="Times New Roman"/>
          <w:b w:val="0"/>
          <w:bCs w:val="0"/>
          <w:color w:val="auto"/>
          <w:kern w:val="0"/>
          <w:sz w:val="24"/>
          <w:szCs w:val="24"/>
        </w:rPr>
        <w:t>非中小微企业</w:t>
      </w:r>
      <w:r>
        <w:rPr>
          <w:rFonts w:hint="eastAsia" w:ascii="宋体" w:hAnsi="宋体" w:eastAsia="Arial" w:cs="Times New Roman"/>
          <w:b w:val="0"/>
          <w:bCs w:val="0"/>
          <w:color w:val="auto"/>
          <w:kern w:val="0"/>
          <w:sz w:val="24"/>
          <w:szCs w:val="24"/>
        </w:rPr>
        <w:t>（或监狱企业或残疾人福利性单位）</w:t>
      </w:r>
      <w:r>
        <w:rPr>
          <w:rFonts w:hint="default" w:ascii="宋体" w:hAnsi="宋体" w:eastAsia="Arial" w:cs="Times New Roman"/>
          <w:b w:val="0"/>
          <w:bCs w:val="0"/>
          <w:color w:val="auto"/>
          <w:kern w:val="0"/>
          <w:sz w:val="24"/>
          <w:szCs w:val="24"/>
        </w:rPr>
        <w:t>，或未提供《中小企业声明函》</w:t>
      </w:r>
      <w:r>
        <w:rPr>
          <w:rFonts w:hint="eastAsia" w:ascii="宋体" w:hAnsi="宋体" w:eastAsia="Arial" w:cs="Times New Roman"/>
          <w:b w:val="0"/>
          <w:bCs w:val="0"/>
          <w:color w:val="auto"/>
          <w:kern w:val="0"/>
          <w:sz w:val="24"/>
          <w:szCs w:val="24"/>
        </w:rPr>
        <w:t>（或监狱企业、残疾人福利性单位声明函）</w:t>
      </w:r>
      <w:r>
        <w:rPr>
          <w:rFonts w:hint="default" w:ascii="宋体" w:hAnsi="宋体" w:eastAsia="Arial" w:cs="Times New Roman"/>
          <w:b w:val="0"/>
          <w:bCs w:val="0"/>
          <w:color w:val="auto"/>
          <w:kern w:val="0"/>
          <w:sz w:val="24"/>
          <w:szCs w:val="24"/>
        </w:rPr>
        <w:t>的。</w:t>
      </w:r>
    </w:p>
    <w:p w14:paraId="0370575A">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27.1.1</w:t>
      </w:r>
      <w:r>
        <w:rPr>
          <w:rFonts w:hint="default" w:ascii="宋体" w:hAnsi="宋体" w:eastAsia="宋体" w:cs="宋体"/>
          <w:kern w:val="0"/>
          <w:sz w:val="24"/>
          <w:szCs w:val="24"/>
        </w:rPr>
        <w:t>4</w:t>
      </w:r>
      <w:r>
        <w:rPr>
          <w:rFonts w:hint="eastAsia" w:ascii="宋体" w:hAnsi="宋体" w:eastAsia="宋体" w:cs="宋体"/>
          <w:kern w:val="0"/>
          <w:sz w:val="24"/>
          <w:szCs w:val="24"/>
        </w:rPr>
        <w:t>其他法律、法规及本招标文件规定的属无效投标的情形。</w:t>
      </w:r>
    </w:p>
    <w:p w14:paraId="0B58A342">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27.2废标条款</w:t>
      </w:r>
    </w:p>
    <w:p w14:paraId="49AED8B5">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27.2.1符合专业条件的供应商或者对招标文件作实质响应的供应商不足三家的。27.2.2出现影响采购公正的违法、违规行为的。</w:t>
      </w:r>
    </w:p>
    <w:p w14:paraId="717CCE1A">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27.2.3因重大变故，采购任务取消的。</w:t>
      </w:r>
    </w:p>
    <w:p w14:paraId="236A6CF8">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27.2.4评标委员会认定招标文件存在歧义、重大缺陷导致评审工作无法进行。</w:t>
      </w:r>
    </w:p>
    <w:p w14:paraId="74591197">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27.2.5 因苏采云系统系统故障原因造成开标不成功的。</w:t>
      </w:r>
    </w:p>
    <w:p w14:paraId="227F7A0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27.3 投标截止时间结束后参加投标的供应商不足三家的处理：</w:t>
      </w:r>
    </w:p>
    <w:p w14:paraId="41423B7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kern w:val="0"/>
          <w:sz w:val="24"/>
          <w:szCs w:val="24"/>
        </w:rPr>
        <w:t>27.3.1如出现投标截止时间结束后参加投标的供应商或者</w:t>
      </w:r>
      <w:r>
        <w:rPr>
          <w:rFonts w:hint="eastAsia" w:ascii="宋体" w:hAnsi="宋体" w:eastAsia="宋体" w:cs="宋体"/>
          <w:color w:val="000000"/>
          <w:kern w:val="0"/>
          <w:sz w:val="24"/>
          <w:szCs w:val="24"/>
        </w:rPr>
        <w:t>在评标期间对招标文件做出实质响应的供应商不足三家情况，按政府采购相关规定执行。</w:t>
      </w:r>
    </w:p>
    <w:p w14:paraId="435F0129">
      <w:pPr>
        <w:widowControl w:val="0"/>
        <w:spacing w:line="360" w:lineRule="auto"/>
        <w:ind w:firstLine="602"/>
        <w:outlineLvl w:val="1"/>
        <w:rPr>
          <w:rFonts w:hint="default" w:ascii="宋体" w:hAnsi="宋体" w:eastAsia="宋体" w:cs="Times New Roman"/>
          <w:b/>
          <w:bCs/>
          <w:sz w:val="24"/>
          <w:szCs w:val="24"/>
        </w:rPr>
      </w:pPr>
      <w:bookmarkStart w:id="161" w:name="_Toc120614219"/>
      <w:bookmarkStart w:id="162" w:name="_Toc184145585"/>
      <w:bookmarkStart w:id="163" w:name="_Toc211901908"/>
      <w:r>
        <w:rPr>
          <w:rFonts w:hint="eastAsia" w:ascii="宋体" w:hAnsi="宋体" w:eastAsia="宋体" w:cs="Times New Roman"/>
          <w:b/>
          <w:bCs/>
          <w:sz w:val="24"/>
          <w:szCs w:val="24"/>
        </w:rPr>
        <w:t>六、定标</w:t>
      </w:r>
      <w:bookmarkEnd w:id="161"/>
      <w:bookmarkEnd w:id="162"/>
      <w:bookmarkEnd w:id="163"/>
    </w:p>
    <w:p w14:paraId="651C6291">
      <w:pPr>
        <w:spacing w:line="360" w:lineRule="auto"/>
        <w:ind w:firstLine="600"/>
        <w:jc w:val="left"/>
        <w:rPr>
          <w:rFonts w:hint="default" w:ascii="Calibri" w:hAnsi="Calibri" w:eastAsia="Arial" w:cs="Times New Roman"/>
          <w:kern w:val="0"/>
          <w:sz w:val="24"/>
          <w:szCs w:val="24"/>
        </w:rPr>
      </w:pPr>
      <w:bookmarkStart w:id="164" w:name="_Toc20823310"/>
      <w:bookmarkStart w:id="165" w:name="_Toc16938554"/>
      <w:bookmarkStart w:id="166" w:name="_Toc513029238"/>
      <w:r>
        <w:rPr>
          <w:rFonts w:hint="eastAsia" w:ascii="黑体" w:hAnsi="宋体" w:eastAsia="黑体" w:cs="黑体"/>
          <w:color w:val="000000"/>
          <w:kern w:val="0"/>
          <w:sz w:val="24"/>
          <w:szCs w:val="24"/>
        </w:rPr>
        <w:t>28、</w:t>
      </w:r>
      <w:bookmarkEnd w:id="164"/>
      <w:r>
        <w:rPr>
          <w:rFonts w:hint="eastAsia" w:ascii="黑体" w:hAnsi="宋体" w:eastAsia="黑体" w:cs="黑体"/>
          <w:color w:val="000000"/>
          <w:kern w:val="0"/>
          <w:sz w:val="24"/>
          <w:szCs w:val="24"/>
        </w:rPr>
        <w:t>确定</w:t>
      </w:r>
      <w:bookmarkEnd w:id="165"/>
      <w:bookmarkEnd w:id="166"/>
      <w:r>
        <w:rPr>
          <w:rFonts w:hint="eastAsia" w:ascii="黑体" w:hAnsi="宋体" w:eastAsia="黑体" w:cs="黑体"/>
          <w:color w:val="000000"/>
          <w:kern w:val="0"/>
          <w:sz w:val="24"/>
          <w:szCs w:val="24"/>
        </w:rPr>
        <w:t>中标单位</w:t>
      </w:r>
    </w:p>
    <w:p w14:paraId="18544786">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 xml:space="preserve">28.1中标候选人的选取原则和数量见招标文件第五章规定。 </w:t>
      </w:r>
    </w:p>
    <w:p w14:paraId="432F65E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28.2 采购人应根据评委会推荐的中标候选人确定中标人。</w:t>
      </w:r>
    </w:p>
    <w:p w14:paraId="52CDCF06">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28.3 采购人将在</w:t>
      </w:r>
      <w:r>
        <w:rPr>
          <w:rFonts w:hint="eastAsia" w:ascii="仿宋" w:hAnsi="仿宋" w:eastAsia="Arial" w:cs="仿宋"/>
          <w:color w:val="000000"/>
          <w:kern w:val="0"/>
          <w:sz w:val="24"/>
          <w:szCs w:val="24"/>
        </w:rPr>
        <w:t>中国政府采购网</w:t>
      </w:r>
      <w:r>
        <w:rPr>
          <w:rFonts w:hint="eastAsia" w:ascii="仿宋" w:hAnsi="仿宋" w:eastAsia="Arial" w:cs="仿宋"/>
          <w:color w:val="333333"/>
          <w:kern w:val="0"/>
          <w:sz w:val="24"/>
          <w:szCs w:val="24"/>
          <w:shd w:val="clear" w:color="auto" w:fill="FFFFFF"/>
        </w:rPr>
        <w:t>”、</w:t>
      </w:r>
      <w:r>
        <w:rPr>
          <w:rFonts w:hint="eastAsia" w:ascii="宋体" w:hAnsi="宋体" w:eastAsia="宋体" w:cs="宋体"/>
          <w:color w:val="000000"/>
          <w:kern w:val="0"/>
          <w:sz w:val="24"/>
          <w:szCs w:val="24"/>
        </w:rPr>
        <w:t>“江苏政府采购网”、“盐城市政府采购网</w:t>
      </w:r>
      <w:r>
        <w:rPr>
          <w:rFonts w:hint="eastAsia" w:ascii="仿宋" w:hAnsi="仿宋" w:eastAsia="Arial" w:cs="仿宋"/>
          <w:color w:val="333333"/>
          <w:kern w:val="0"/>
          <w:sz w:val="24"/>
          <w:szCs w:val="24"/>
          <w:shd w:val="clear" w:color="auto" w:fill="FFFFFF"/>
        </w:rPr>
        <w:t>”</w:t>
      </w:r>
      <w:r>
        <w:rPr>
          <w:rFonts w:hint="eastAsia" w:ascii="宋体" w:hAnsi="宋体" w:eastAsia="宋体" w:cs="宋体"/>
          <w:color w:val="000000"/>
          <w:kern w:val="0"/>
          <w:sz w:val="24"/>
          <w:szCs w:val="24"/>
        </w:rPr>
        <w:t>发布中标公告，公告期限为1个工作日。</w:t>
      </w:r>
    </w:p>
    <w:p w14:paraId="7971F52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28.4  若有充分证据证明，中标人出现下列情况之一的，一经查实，将被取消中标资格：</w:t>
      </w:r>
    </w:p>
    <w:p w14:paraId="5B13070E">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28.4.1提供虚假材料谋取中标的。</w:t>
      </w:r>
    </w:p>
    <w:p w14:paraId="139428B7">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28.4.2向采购人行贿或者提供其他不正当利益的。</w:t>
      </w:r>
    </w:p>
    <w:p w14:paraId="3E23883D">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28.4.3属于本文件规定的无效条件，但在评标过程中又未被评委会发现的。</w:t>
      </w:r>
    </w:p>
    <w:p w14:paraId="6E3BE202">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28.4.4与采购人或者其他供应商恶意串通的。</w:t>
      </w:r>
    </w:p>
    <w:p w14:paraId="3E0A4A32">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28.4.5采取不正当手段诋毁、排挤其他供应商的。</w:t>
      </w:r>
    </w:p>
    <w:p w14:paraId="4471AA7F">
      <w:pPr>
        <w:spacing w:line="360" w:lineRule="auto"/>
        <w:ind w:firstLine="560"/>
        <w:jc w:val="left"/>
        <w:rPr>
          <w:rFonts w:hint="default" w:ascii="Calibri" w:hAnsi="Calibri" w:eastAsia="Arial" w:cs="Times New Roman"/>
          <w:kern w:val="0"/>
          <w:sz w:val="24"/>
          <w:szCs w:val="24"/>
        </w:rPr>
      </w:pPr>
      <w:bookmarkStart w:id="167" w:name="_Toc200451960"/>
      <w:r>
        <w:rPr>
          <w:rFonts w:hint="eastAsia" w:ascii="宋体" w:hAnsi="宋体" w:eastAsia="宋体" w:cs="宋体"/>
          <w:color w:val="000000"/>
          <w:kern w:val="0"/>
          <w:sz w:val="24"/>
          <w:szCs w:val="24"/>
        </w:rPr>
        <w:t>28.5.</w:t>
      </w:r>
      <w:r>
        <w:rPr>
          <w:rFonts w:hint="default" w:ascii="Times New Roman" w:hAnsi="Times New Roman" w:eastAsia="Arial" w:cs="Times New Roman"/>
          <w:color w:val="000000"/>
          <w:kern w:val="0"/>
          <w:sz w:val="24"/>
          <w:szCs w:val="24"/>
        </w:rPr>
        <w:t> 有下列情形之一的，视为投标人串通投标，投标无效：</w:t>
      </w:r>
      <w:bookmarkEnd w:id="167"/>
    </w:p>
    <w:p w14:paraId="71F6276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28.5.1不同投标人的投标文件由同一单位或者个人编制；</w:t>
      </w:r>
    </w:p>
    <w:p w14:paraId="6B64838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28.5.2不同投标人委托同一单位或者个人办理投标事宜；</w:t>
      </w:r>
    </w:p>
    <w:p w14:paraId="074F21F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28.5.3 不同投标人的投标文件载明的项目管理成员或者联系人员为同一人；</w:t>
      </w:r>
    </w:p>
    <w:p w14:paraId="745BEBEB">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28.5.4不同投标人的投标文件异常一致或者投标报价呈规律性差异；</w:t>
      </w:r>
    </w:p>
    <w:p w14:paraId="49C2C017">
      <w:pPr>
        <w:spacing w:line="360" w:lineRule="auto"/>
        <w:ind w:firstLine="600"/>
        <w:jc w:val="left"/>
        <w:rPr>
          <w:rFonts w:hint="default" w:ascii="Calibri" w:hAnsi="Calibri" w:eastAsia="Arial" w:cs="Times New Roman"/>
          <w:kern w:val="0"/>
          <w:sz w:val="24"/>
          <w:szCs w:val="24"/>
        </w:rPr>
      </w:pPr>
      <w:r>
        <w:rPr>
          <w:rFonts w:hint="eastAsia" w:ascii="黑体" w:hAnsi="宋体" w:eastAsia="黑体" w:cs="黑体"/>
          <w:color w:val="000000"/>
          <w:kern w:val="0"/>
          <w:sz w:val="24"/>
          <w:szCs w:val="24"/>
        </w:rPr>
        <w:t>29、质疑处理</w:t>
      </w:r>
    </w:p>
    <w:p w14:paraId="1CDAA81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29.1 提出质疑的供应商应当是参与所质疑项目采购活动的供应商。潜在供应商依法获取其可质疑的采购文件的，可以对采购文件提出质疑。</w:t>
      </w:r>
    </w:p>
    <w:p w14:paraId="66FE83F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p>
    <w:p w14:paraId="3485DF1A">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29.2.1</w:t>
      </w:r>
      <w:r>
        <w:rPr>
          <w:rFonts w:hint="default" w:ascii="Times New Roman" w:hAnsi="Times New Roman" w:eastAsia="Arial" w:cs="Times New Roman"/>
          <w:color w:val="000000"/>
          <w:kern w:val="0"/>
          <w:sz w:val="24"/>
          <w:szCs w:val="24"/>
        </w:rPr>
        <w:t>对可以质疑的采购文件提出质疑的，为收到采购文件之日或者采购文件公告期限届满之日；</w:t>
      </w:r>
      <w:r>
        <w:rPr>
          <w:rFonts w:hint="default" w:ascii="Times New Roman" w:hAnsi="Times New Roman" w:eastAsia="Arial" w:cs="Times New Roman"/>
          <w:color w:val="000000"/>
          <w:kern w:val="0"/>
          <w:sz w:val="24"/>
          <w:szCs w:val="24"/>
        </w:rPr>
        <w:br w:type="textWrapping"/>
      </w:r>
      <w:r>
        <w:rPr>
          <w:rFonts w:hint="default" w:ascii="Times New Roman" w:hAnsi="Times New Roman" w:eastAsia="Arial" w:cs="Times New Roman"/>
          <w:color w:val="000000"/>
          <w:kern w:val="0"/>
          <w:sz w:val="24"/>
          <w:szCs w:val="24"/>
        </w:rPr>
        <w:t xml:space="preserve">   </w:t>
      </w:r>
      <w:r>
        <w:rPr>
          <w:rFonts w:hint="eastAsia" w:ascii="宋体" w:hAnsi="宋体" w:eastAsia="宋体" w:cs="宋体"/>
          <w:color w:val="000000"/>
          <w:kern w:val="0"/>
          <w:sz w:val="24"/>
          <w:szCs w:val="24"/>
        </w:rPr>
        <w:t>29.2.2</w:t>
      </w:r>
      <w:r>
        <w:rPr>
          <w:rFonts w:hint="default" w:ascii="Times New Roman" w:hAnsi="Times New Roman" w:eastAsia="Arial" w:cs="Times New Roman"/>
          <w:color w:val="000000"/>
          <w:kern w:val="0"/>
          <w:sz w:val="24"/>
          <w:szCs w:val="24"/>
        </w:rPr>
        <w:t>对采购过程提出质疑的，为各采购程序环节结束之日；</w:t>
      </w:r>
      <w:r>
        <w:rPr>
          <w:rFonts w:hint="default" w:ascii="Times New Roman" w:hAnsi="Times New Roman" w:eastAsia="Arial" w:cs="Times New Roman"/>
          <w:color w:val="000000"/>
          <w:kern w:val="0"/>
          <w:sz w:val="24"/>
          <w:szCs w:val="24"/>
        </w:rPr>
        <w:br w:type="textWrapping"/>
      </w:r>
      <w:r>
        <w:rPr>
          <w:rFonts w:hint="default" w:ascii="Times New Roman" w:hAnsi="Times New Roman" w:eastAsia="Arial" w:cs="Times New Roman"/>
          <w:color w:val="000000"/>
          <w:kern w:val="0"/>
          <w:sz w:val="24"/>
          <w:szCs w:val="24"/>
        </w:rPr>
        <w:t xml:space="preserve">   </w:t>
      </w:r>
      <w:r>
        <w:rPr>
          <w:rFonts w:hint="eastAsia" w:ascii="宋体" w:hAnsi="宋体" w:eastAsia="宋体" w:cs="宋体"/>
          <w:color w:val="000000"/>
          <w:kern w:val="0"/>
          <w:sz w:val="24"/>
          <w:szCs w:val="24"/>
        </w:rPr>
        <w:t>29.2.3</w:t>
      </w:r>
      <w:r>
        <w:rPr>
          <w:rFonts w:hint="default" w:ascii="Times New Roman" w:hAnsi="Times New Roman" w:eastAsia="Arial" w:cs="Times New Roman"/>
          <w:color w:val="000000"/>
          <w:kern w:val="0"/>
          <w:sz w:val="24"/>
          <w:szCs w:val="24"/>
        </w:rPr>
        <w:t>对中标或者成交结果提出质疑的，为中标或者成交结果公告期限届满之日。</w:t>
      </w:r>
    </w:p>
    <w:p w14:paraId="24A31BA0">
      <w:pPr>
        <w:spacing w:line="360" w:lineRule="auto"/>
        <w:ind w:firstLine="560"/>
        <w:jc w:val="left"/>
        <w:rPr>
          <w:rFonts w:hint="default" w:ascii="Calibri" w:hAnsi="Calibri" w:eastAsia="Arial" w:cs="Times New Roman"/>
          <w:kern w:val="0"/>
          <w:sz w:val="24"/>
          <w:szCs w:val="24"/>
        </w:rPr>
      </w:pPr>
      <w:r>
        <w:rPr>
          <w:rFonts w:hint="default" w:ascii="Times New Roman" w:hAnsi="Times New Roman" w:eastAsia="Arial" w:cs="Times New Roman"/>
          <w:color w:val="000000"/>
          <w:kern w:val="0"/>
          <w:sz w:val="24"/>
          <w:szCs w:val="24"/>
        </w:rPr>
        <w:t>供应商应当在法定质疑期内一次性提出针对同一采购程序环节的质疑。供应商如在法定期限内对同一采购程序环节提出多次质疑的，采购人将只对供应商第一次质疑作出答复。</w:t>
      </w:r>
    </w:p>
    <w:p w14:paraId="6B01F56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29.3质疑函必须按照本招标文件中《质疑函范本》要求的格式和内容进行填写。供应商如组成联合体参加投标，则《质疑函范本》中要求签字、盖章、加盖公章之处，联合体各方均须按要求签字、盖章、加盖公章。</w:t>
      </w:r>
    </w:p>
    <w:p w14:paraId="5EC01126">
      <w:pPr>
        <w:spacing w:line="360" w:lineRule="auto"/>
        <w:ind w:firstLine="560"/>
        <w:jc w:val="left"/>
        <w:rPr>
          <w:rFonts w:hint="default" w:ascii="宋体" w:hAnsi="宋体" w:eastAsia="宋体" w:cs="宋体"/>
          <w:kern w:val="0"/>
          <w:sz w:val="24"/>
          <w:szCs w:val="24"/>
        </w:rPr>
      </w:pPr>
      <w:r>
        <w:rPr>
          <w:rFonts w:hint="eastAsia" w:ascii="宋体" w:hAnsi="宋体" w:eastAsia="宋体" w:cs="宋体"/>
          <w:color w:val="000000"/>
          <w:kern w:val="0"/>
          <w:sz w:val="24"/>
          <w:szCs w:val="24"/>
        </w:rPr>
        <w:t>29.4 供应</w:t>
      </w:r>
      <w:r>
        <w:rPr>
          <w:rFonts w:hint="eastAsia" w:ascii="宋体" w:hAnsi="宋体" w:eastAsia="宋体" w:cs="宋体"/>
          <w:kern w:val="0"/>
          <w:sz w:val="24"/>
          <w:szCs w:val="24"/>
        </w:rPr>
        <w:t>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p>
    <w:p w14:paraId="3A2EC4AE">
      <w:pPr>
        <w:spacing w:line="360" w:lineRule="auto"/>
        <w:ind w:firstLine="560"/>
        <w:jc w:val="left"/>
        <w:rPr>
          <w:rFonts w:hint="default" w:ascii="宋体" w:hAnsi="宋体" w:eastAsia="宋体" w:cs="宋体"/>
          <w:kern w:val="0"/>
          <w:sz w:val="24"/>
          <w:szCs w:val="24"/>
        </w:rPr>
      </w:pPr>
      <w:r>
        <w:rPr>
          <w:rFonts w:hint="eastAsia" w:ascii="宋体" w:hAnsi="宋体" w:eastAsia="宋体" w:cs="宋体"/>
          <w:kern w:val="0"/>
          <w:sz w:val="24"/>
          <w:szCs w:val="24"/>
        </w:rPr>
        <w:t>采购人只接收以纸质原件形式送达的质疑,采购人不接受未填写快递运单的快件。</w:t>
      </w:r>
    </w:p>
    <w:p w14:paraId="34CA5ECE">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default" w:ascii="宋体" w:hAnsi="宋体" w:eastAsia="宋体" w:cs="宋体"/>
          <w:color w:val="0D0D0D" w:themeColor="text1" w:themeTint="F2"/>
          <w:kern w:val="0"/>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0"/>
          <w:sz w:val="24"/>
          <w:szCs w:val="24"/>
          <w14:textFill>
            <w14:solidFill>
              <w14:schemeClr w14:val="tx1">
                <w14:lumMod w14:val="95000"/>
                <w14:lumOff w14:val="5000"/>
              </w14:schemeClr>
            </w14:solidFill>
          </w14:textFill>
        </w:rPr>
        <w:t>质疑受理部门：</w:t>
      </w:r>
      <w:r>
        <w:rPr>
          <w:rFonts w:hint="eastAsia" w:ascii="宋体" w:hAnsi="宋体" w:eastAsia="宋体" w:cs="宋体"/>
          <w:color w:val="0D0D0D" w:themeColor="text1" w:themeTint="F2"/>
          <w:kern w:val="0"/>
          <w:sz w:val="24"/>
          <w:szCs w:val="24"/>
          <w:u w:val="single"/>
          <w:lang w:val="en-US" w:eastAsia="zh-CN"/>
          <w14:textFill>
            <w14:solidFill>
              <w14:schemeClr w14:val="tx1">
                <w14:lumMod w14:val="95000"/>
                <w14:lumOff w14:val="5000"/>
              </w14:schemeClr>
            </w14:solidFill>
          </w14:textFill>
        </w:rPr>
        <w:t>东台市东台镇人民政府</w:t>
      </w:r>
    </w:p>
    <w:p w14:paraId="6180B7BB">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default" w:ascii="宋体" w:hAnsi="宋体" w:eastAsia="宋体" w:cs="宋体"/>
          <w:color w:val="0D0D0D" w:themeColor="text1" w:themeTint="F2"/>
          <w:kern w:val="0"/>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0"/>
          <w:sz w:val="24"/>
          <w:szCs w:val="24"/>
          <w14:textFill>
            <w14:solidFill>
              <w14:schemeClr w14:val="tx1">
                <w14:lumMod w14:val="95000"/>
                <w14:lumOff w14:val="5000"/>
              </w14:schemeClr>
            </w14:solidFill>
          </w14:textFill>
        </w:rPr>
        <w:t>联系地址：</w:t>
      </w:r>
      <w:r>
        <w:rPr>
          <w:rFonts w:hint="eastAsia" w:ascii="宋体" w:hAnsi="宋体" w:eastAsia="宋体" w:cs="宋体"/>
          <w:color w:val="0D0D0D" w:themeColor="text1" w:themeTint="F2"/>
          <w:kern w:val="0"/>
          <w:sz w:val="24"/>
          <w:szCs w:val="24"/>
          <w:u w:val="single"/>
          <w:lang w:val="en-US" w:eastAsia="zh-CN"/>
          <w14:textFill>
            <w14:solidFill>
              <w14:schemeClr w14:val="tx1">
                <w14:lumMod w14:val="95000"/>
                <w14:lumOff w14:val="5000"/>
              </w14:schemeClr>
            </w14:solidFill>
          </w14:textFill>
        </w:rPr>
        <w:t>东台市宁树路199号</w:t>
      </w:r>
    </w:p>
    <w:p w14:paraId="625503F7">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default" w:ascii="宋体" w:hAnsi="宋体" w:eastAsia="宋体" w:cs="宋体"/>
          <w:color w:val="0D0D0D" w:themeColor="text1" w:themeTint="F2"/>
          <w:kern w:val="0"/>
          <w:sz w:val="24"/>
          <w:szCs w:val="24"/>
          <w:lang w:val="en-US"/>
          <w14:textFill>
            <w14:solidFill>
              <w14:schemeClr w14:val="tx1">
                <w14:lumMod w14:val="95000"/>
                <w14:lumOff w14:val="5000"/>
              </w14:schemeClr>
            </w14:solidFill>
          </w14:textFill>
        </w:rPr>
      </w:pPr>
      <w:r>
        <w:rPr>
          <w:rFonts w:hint="eastAsia" w:ascii="宋体" w:hAnsi="宋体" w:eastAsia="宋体" w:cs="宋体"/>
          <w:color w:val="0D0D0D" w:themeColor="text1" w:themeTint="F2"/>
          <w:kern w:val="0"/>
          <w:sz w:val="24"/>
          <w:szCs w:val="24"/>
          <w14:textFill>
            <w14:solidFill>
              <w14:schemeClr w14:val="tx1">
                <w14:lumMod w14:val="95000"/>
                <w14:lumOff w14:val="5000"/>
              </w14:schemeClr>
            </w14:solidFill>
          </w14:textFill>
        </w:rPr>
        <w:t>联系电话：</w:t>
      </w:r>
      <w:r>
        <w:rPr>
          <w:rFonts w:hint="eastAsia" w:ascii="宋体" w:hAnsi="宋体" w:eastAsia="宋体" w:cs="宋体"/>
          <w:color w:val="0D0D0D" w:themeColor="text1" w:themeTint="F2"/>
          <w:kern w:val="0"/>
          <w:sz w:val="24"/>
          <w:szCs w:val="24"/>
          <w:u w:val="single"/>
          <w:lang w:val="en-US" w:eastAsia="zh-CN"/>
          <w14:textFill>
            <w14:solidFill>
              <w14:schemeClr w14:val="tx1">
                <w14:lumMod w14:val="95000"/>
                <w14:lumOff w14:val="5000"/>
              </w14:schemeClr>
            </w14:solidFill>
          </w14:textFill>
        </w:rPr>
        <w:t>桂先生 15351517758</w:t>
      </w:r>
    </w:p>
    <w:p w14:paraId="0A3BD88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29.5 以下情形的质疑不予受理</w:t>
      </w:r>
    </w:p>
    <w:p w14:paraId="77BDDF2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29.5.1 内容不符合《政府采购质疑和投诉办法》第十二条规定的质疑。</w:t>
      </w:r>
    </w:p>
    <w:p w14:paraId="425B94D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29.5.2 超出政府采购法定期限的质疑。</w:t>
      </w:r>
    </w:p>
    <w:p w14:paraId="48C0DC7D">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29.5.3 以传真、电子邮件等方式递交的非原件形式的质疑。</w:t>
      </w:r>
    </w:p>
    <w:p w14:paraId="65F8C8CC">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29.5.4 未参加投标活动的供应商或在投标活动中自身权益未受到损害的供应商所提出的质疑。</w:t>
      </w:r>
    </w:p>
    <w:p w14:paraId="04E430E7">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29.5.5供应商组成联合体参加投标，联合体中任何一方或多方未按要求签字、盖章、加盖公章的质疑。</w:t>
      </w:r>
    </w:p>
    <w:p w14:paraId="74662834">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29.6</w:t>
      </w:r>
      <w:r>
        <w:rPr>
          <w:rFonts w:hint="default"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CB85852">
      <w:pPr>
        <w:spacing w:line="360" w:lineRule="auto"/>
        <w:ind w:firstLine="600"/>
        <w:jc w:val="left"/>
        <w:rPr>
          <w:rFonts w:hint="default" w:ascii="Calibri" w:hAnsi="Calibri" w:eastAsia="Arial" w:cs="Times New Roman"/>
          <w:kern w:val="0"/>
          <w:sz w:val="24"/>
          <w:szCs w:val="24"/>
        </w:rPr>
      </w:pPr>
      <w:r>
        <w:rPr>
          <w:rFonts w:hint="eastAsia" w:ascii="黑体" w:hAnsi="宋体" w:eastAsia="黑体" w:cs="黑体"/>
          <w:color w:val="000000"/>
          <w:kern w:val="0"/>
          <w:sz w:val="24"/>
          <w:szCs w:val="24"/>
        </w:rPr>
        <w:t>30、中标通知书</w:t>
      </w:r>
    </w:p>
    <w:p w14:paraId="4E94F423">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30.l</w:t>
      </w:r>
      <w:r>
        <w:rPr>
          <w:rFonts w:hint="eastAsia" w:ascii="宋体" w:hAnsi="宋体" w:eastAsia="宋体" w:cs="宋体"/>
          <w:b/>
          <w:color w:val="000000"/>
          <w:kern w:val="0"/>
          <w:sz w:val="24"/>
          <w:szCs w:val="24"/>
        </w:rPr>
        <w:t> </w:t>
      </w:r>
      <w:r>
        <w:rPr>
          <w:rFonts w:hint="eastAsia" w:ascii="宋体" w:hAnsi="宋体" w:eastAsia="宋体" w:cs="宋体"/>
          <w:color w:val="000000"/>
          <w:kern w:val="0"/>
          <w:sz w:val="24"/>
          <w:szCs w:val="24"/>
        </w:rPr>
        <w:t>中标结果确定后，采购人将向中标人发出中标通知书。请中标人在中标结果公告届满之日起30日内,使用CA数字证书</w:t>
      </w:r>
      <w:r>
        <w:rPr>
          <w:rFonts w:hint="eastAsia" w:ascii="宋体" w:hAnsi="宋体" w:eastAsia="宋体" w:cs="宋体"/>
          <w:kern w:val="0"/>
          <w:sz w:val="24"/>
          <w:szCs w:val="24"/>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kern w:val="0"/>
          <w:sz w:val="24"/>
          <w:szCs w:val="24"/>
        </w:rPr>
        <w:t>标人自行承担。</w:t>
      </w:r>
    </w:p>
    <w:p w14:paraId="2ADA8016">
      <w:pPr>
        <w:spacing w:line="360" w:lineRule="auto"/>
        <w:ind w:firstLine="56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30.2中标通知书将是合同的一个组成部分。对采购人和中标供应商均具有法律效力。中标通知书发出后，采购人改变中标结果的，或者中标供应商放弃中标项目的，应当依法承担法律责任。</w:t>
      </w:r>
    </w:p>
    <w:p w14:paraId="7490C315">
      <w:pPr>
        <w:spacing w:line="360" w:lineRule="auto"/>
        <w:ind w:firstLine="560"/>
        <w:jc w:val="left"/>
        <w:rPr>
          <w:rFonts w:hint="default" w:ascii="宋体" w:hAnsi="宋体" w:eastAsia="宋体" w:cs="宋体"/>
          <w:b/>
          <w:bCs/>
          <w:color w:val="000000"/>
          <w:kern w:val="0"/>
          <w:sz w:val="24"/>
          <w:szCs w:val="24"/>
        </w:rPr>
      </w:pPr>
      <w:r>
        <w:rPr>
          <w:rFonts w:hint="default" w:ascii="宋体" w:hAnsi="宋体" w:eastAsia="宋体" w:cs="宋体"/>
          <w:b/>
          <w:bCs/>
          <w:color w:val="000000"/>
          <w:kern w:val="0"/>
          <w:sz w:val="24"/>
          <w:szCs w:val="24"/>
          <w:lang w:val="en-US" w:eastAsia="zh-CN"/>
        </w:rPr>
        <w:t>注：本项目招标代理服务费</w:t>
      </w:r>
      <w:r>
        <w:rPr>
          <w:rFonts w:hint="eastAsia" w:ascii="宋体" w:hAnsi="宋体" w:eastAsia="宋体" w:cs="宋体"/>
          <w:b/>
          <w:bCs/>
          <w:color w:val="000000"/>
          <w:kern w:val="0"/>
          <w:sz w:val="24"/>
          <w:szCs w:val="24"/>
          <w:lang w:val="en-US" w:eastAsia="zh-CN"/>
        </w:rPr>
        <w:t>由招标人支付，按每包中标价的3‰计取代理服务费</w:t>
      </w:r>
      <w:r>
        <w:rPr>
          <w:rFonts w:hint="default" w:ascii="宋体" w:hAnsi="宋体" w:eastAsia="宋体" w:cs="宋体"/>
          <w:b/>
          <w:bCs/>
          <w:color w:val="000000"/>
          <w:kern w:val="0"/>
          <w:sz w:val="24"/>
          <w:szCs w:val="24"/>
          <w:lang w:val="en-US" w:eastAsia="zh-CN"/>
        </w:rPr>
        <w:t>。</w:t>
      </w:r>
    </w:p>
    <w:p w14:paraId="50600DD4">
      <w:pPr>
        <w:widowControl w:val="0"/>
        <w:spacing w:line="360" w:lineRule="auto"/>
        <w:ind w:firstLine="602"/>
        <w:outlineLvl w:val="1"/>
        <w:rPr>
          <w:rFonts w:hint="default" w:ascii="宋体" w:hAnsi="宋体" w:eastAsia="宋体" w:cs="Times New Roman"/>
          <w:b/>
          <w:bCs/>
          <w:sz w:val="24"/>
          <w:szCs w:val="24"/>
        </w:rPr>
      </w:pPr>
      <w:bookmarkStart w:id="168" w:name="_Toc16938552"/>
      <w:bookmarkStart w:id="169" w:name="_Toc513029236"/>
      <w:bookmarkStart w:id="170" w:name="_Toc20823308"/>
      <w:bookmarkStart w:id="171" w:name="_Toc184145586"/>
      <w:bookmarkStart w:id="172" w:name="_Toc120614220"/>
      <w:bookmarkStart w:id="173" w:name="_Toc211901909"/>
      <w:r>
        <w:rPr>
          <w:rFonts w:hint="eastAsia" w:ascii="宋体" w:hAnsi="宋体" w:eastAsia="宋体" w:cs="Times New Roman"/>
          <w:b/>
          <w:bCs/>
          <w:sz w:val="24"/>
          <w:szCs w:val="24"/>
        </w:rPr>
        <w:t>七、授予合同</w:t>
      </w:r>
      <w:bookmarkEnd w:id="168"/>
      <w:bookmarkEnd w:id="169"/>
      <w:bookmarkEnd w:id="170"/>
      <w:bookmarkEnd w:id="171"/>
      <w:bookmarkEnd w:id="172"/>
      <w:bookmarkEnd w:id="173"/>
    </w:p>
    <w:p w14:paraId="14608345">
      <w:pPr>
        <w:spacing w:line="360" w:lineRule="auto"/>
        <w:ind w:firstLine="600"/>
        <w:jc w:val="left"/>
        <w:rPr>
          <w:rFonts w:hint="default" w:ascii="Calibri" w:hAnsi="Calibri" w:eastAsia="Arial" w:cs="Times New Roman"/>
          <w:kern w:val="0"/>
          <w:sz w:val="24"/>
          <w:szCs w:val="24"/>
        </w:rPr>
      </w:pPr>
      <w:bookmarkStart w:id="174" w:name="_Toc16938553"/>
      <w:bookmarkStart w:id="175" w:name="_Toc513029237"/>
      <w:bookmarkStart w:id="176" w:name="_Toc20823309"/>
      <w:r>
        <w:rPr>
          <w:rFonts w:hint="eastAsia" w:ascii="黑体" w:hAnsi="宋体" w:eastAsia="黑体" w:cs="黑体"/>
          <w:color w:val="000000"/>
          <w:kern w:val="0"/>
          <w:sz w:val="24"/>
          <w:szCs w:val="24"/>
        </w:rPr>
        <w:t>31. 签订合同</w:t>
      </w:r>
      <w:bookmarkEnd w:id="174"/>
      <w:bookmarkEnd w:id="175"/>
      <w:bookmarkEnd w:id="176"/>
    </w:p>
    <w:p w14:paraId="4593F99F">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31.l中标人应当在中标通知书发出之日起三十日内，按照招标文件确定的事项与采购人签订政府采购合同。</w:t>
      </w:r>
    </w:p>
    <w:p w14:paraId="6A19D2F8">
      <w:pPr>
        <w:spacing w:line="360" w:lineRule="auto"/>
        <w:ind w:firstLine="560"/>
        <w:jc w:val="left"/>
        <w:rPr>
          <w:rFonts w:hint="default" w:ascii="Calibri" w:hAnsi="Calibri" w:eastAsia="Arial" w:cs="Times New Roman"/>
          <w:color w:val="auto"/>
          <w:kern w:val="0"/>
          <w:sz w:val="24"/>
          <w:szCs w:val="24"/>
        </w:rPr>
      </w:pPr>
      <w:r>
        <w:rPr>
          <w:rFonts w:hint="eastAsia" w:ascii="宋体" w:hAnsi="宋体" w:eastAsia="宋体" w:cs="宋体"/>
          <w:color w:val="000000"/>
          <w:kern w:val="0"/>
          <w:sz w:val="24"/>
          <w:szCs w:val="24"/>
        </w:rPr>
        <w:t>31.2</w:t>
      </w:r>
      <w:r>
        <w:rPr>
          <w:rFonts w:hint="eastAsia" w:ascii="宋体" w:hAnsi="宋体" w:eastAsia="宋体" w:cs="宋体"/>
          <w:b/>
          <w:color w:val="000000"/>
          <w:kern w:val="0"/>
          <w:sz w:val="24"/>
          <w:szCs w:val="24"/>
        </w:rPr>
        <w:t> </w:t>
      </w:r>
      <w:r>
        <w:rPr>
          <w:rFonts w:hint="eastAsia" w:ascii="宋体" w:hAnsi="宋体" w:eastAsia="宋体" w:cs="宋体"/>
          <w:color w:val="000000"/>
          <w:kern w:val="0"/>
          <w:sz w:val="24"/>
          <w:szCs w:val="24"/>
        </w:rPr>
        <w:t>招标文件、中标人的投标文件及招标过程中有关澄清、承诺文件均应作</w:t>
      </w:r>
      <w:r>
        <w:rPr>
          <w:rFonts w:hint="eastAsia" w:ascii="宋体" w:hAnsi="宋体" w:eastAsia="宋体" w:cs="宋体"/>
          <w:color w:val="auto"/>
          <w:kern w:val="0"/>
          <w:sz w:val="24"/>
          <w:szCs w:val="24"/>
        </w:rPr>
        <w:t>为合同附件。</w:t>
      </w:r>
    </w:p>
    <w:p w14:paraId="67171895">
      <w:pPr>
        <w:spacing w:line="360" w:lineRule="auto"/>
        <w:ind w:firstLine="560"/>
        <w:jc w:val="left"/>
        <w:rPr>
          <w:rFonts w:hint="default" w:ascii="宋体" w:hAnsi="宋体" w:eastAsia="宋体" w:cs="宋体"/>
          <w:color w:val="000000"/>
          <w:kern w:val="0"/>
          <w:sz w:val="24"/>
          <w:szCs w:val="24"/>
        </w:rPr>
      </w:pPr>
      <w:r>
        <w:rPr>
          <w:rFonts w:hint="eastAsia" w:ascii="宋体" w:hAnsi="宋体" w:eastAsia="宋体" w:cs="宋体"/>
          <w:color w:val="auto"/>
          <w:kern w:val="0"/>
          <w:sz w:val="24"/>
          <w:szCs w:val="24"/>
        </w:rPr>
        <w:t>30.3签订合同后，</w:t>
      </w:r>
      <w:r>
        <w:rPr>
          <w:rFonts w:hint="eastAsia" w:ascii="宋体" w:hAnsi="宋体" w:eastAsia="宋体" w:cs="宋体"/>
          <w:b/>
          <w:i/>
          <w:color w:val="auto"/>
          <w:kern w:val="0"/>
          <w:sz w:val="24"/>
          <w:szCs w:val="24"/>
          <w:u w:val="single"/>
        </w:rPr>
        <w:t>中标人不得将合同标的进行转包</w:t>
      </w:r>
      <w:r>
        <w:rPr>
          <w:rFonts w:hint="eastAsia" w:ascii="宋体" w:hAnsi="宋体" w:eastAsia="宋体" w:cs="宋体"/>
          <w:color w:val="auto"/>
          <w:kern w:val="0"/>
          <w:sz w:val="24"/>
          <w:szCs w:val="24"/>
        </w:rPr>
        <w:t>。未经</w:t>
      </w:r>
      <w:r>
        <w:rPr>
          <w:rFonts w:hint="eastAsia" w:ascii="宋体" w:hAnsi="宋体" w:eastAsia="宋体" w:cs="宋体"/>
          <w:color w:val="000000"/>
          <w:kern w:val="0"/>
          <w:sz w:val="24"/>
          <w:szCs w:val="24"/>
        </w:rPr>
        <w:t>采购人同意，中标人也不得采用分包的形式履行合同，否则采购人有权终止合同。转包或分包造成采购人损失的，中标人应承担相应赔偿责任。</w:t>
      </w:r>
    </w:p>
    <w:p w14:paraId="4BE7244B">
      <w:pPr>
        <w:spacing w:line="360" w:lineRule="auto"/>
        <w:ind w:firstLine="560"/>
        <w:jc w:val="left"/>
        <w:rPr>
          <w:rFonts w:hint="default" w:ascii="Calibri" w:hAnsi="Calibri" w:eastAsia="Arial" w:cs="Times New Roman"/>
          <w:color w:val="auto"/>
          <w:kern w:val="0"/>
          <w:sz w:val="24"/>
          <w:szCs w:val="24"/>
        </w:rPr>
      </w:pPr>
      <w:r>
        <w:rPr>
          <w:rFonts w:hint="eastAsia" w:ascii="Calibri" w:hAnsi="Calibri" w:eastAsia="Arial" w:cs="Times New Roman"/>
          <w:color w:val="auto"/>
          <w:kern w:val="0"/>
          <w:sz w:val="24"/>
          <w:szCs w:val="24"/>
        </w:rPr>
        <w:t>32、货物（包含与货物相关的服务）的追加</w:t>
      </w:r>
    </w:p>
    <w:p w14:paraId="1F10D121">
      <w:pPr>
        <w:spacing w:line="360" w:lineRule="auto"/>
        <w:ind w:firstLine="560"/>
        <w:jc w:val="left"/>
        <w:rPr>
          <w:rFonts w:hint="default" w:ascii="Calibri" w:hAnsi="Calibri" w:eastAsia="Arial" w:cs="Times New Roman"/>
          <w:kern w:val="0"/>
          <w:sz w:val="24"/>
          <w:szCs w:val="24"/>
        </w:rPr>
      </w:pPr>
      <w:r>
        <w:rPr>
          <w:rFonts w:hint="eastAsia" w:ascii="宋体" w:hAnsi="宋体" w:eastAsia="宋体" w:cs="宋体"/>
          <w:color w:val="000000"/>
          <w:kern w:val="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4B0209EE">
      <w:pPr>
        <w:spacing w:line="360" w:lineRule="auto"/>
        <w:ind w:firstLine="560"/>
        <w:jc w:val="left"/>
        <w:rPr>
          <w:rFonts w:hint="default" w:ascii="Calibri" w:hAnsi="Calibri" w:eastAsia="Arial" w:cs="Times New Roman"/>
          <w:kern w:val="0"/>
          <w:sz w:val="24"/>
          <w:szCs w:val="24"/>
        </w:rPr>
      </w:pPr>
      <w:bookmarkStart w:id="177" w:name="_Toc513029242"/>
      <w:bookmarkStart w:id="178" w:name="_Toc479757207"/>
      <w:bookmarkStart w:id="179" w:name="_Toc16938558"/>
      <w:bookmarkStart w:id="180" w:name="_Toc120614221"/>
      <w:bookmarkStart w:id="181" w:name="_Toc20823314"/>
      <w:r>
        <w:rPr>
          <w:rFonts w:hint="eastAsia" w:ascii="Calibri" w:hAnsi="Calibri" w:eastAsia="Arial" w:cs="Times New Roman"/>
          <w:kern w:val="0"/>
          <w:sz w:val="24"/>
          <w:szCs w:val="24"/>
        </w:rPr>
        <w:t>33.政府采购政策功能落实</w:t>
      </w:r>
    </w:p>
    <w:p w14:paraId="3C288EC7">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33.1政府采购线上合同信用融资政策</w:t>
      </w:r>
    </w:p>
    <w:p w14:paraId="6464BC5E">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670451D6">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33.2进口产品</w:t>
      </w:r>
    </w:p>
    <w:p w14:paraId="73871EF5">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1892900">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33.3中小企业、监狱企业及残疾人福利性单位</w:t>
      </w:r>
    </w:p>
    <w:p w14:paraId="5EFA70CD">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33.3.1中小企业定义：</w:t>
      </w:r>
    </w:p>
    <w:p w14:paraId="6910AA5B">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15FC98B">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33.3.2供应商提供的货物、工程或者服务符合下列情形的，享受中小企业扶持政策：</w:t>
      </w:r>
    </w:p>
    <w:p w14:paraId="2A16E791">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33.3.2.1在货物采购项目中，货物由中小企业制造，即货物由中小企业生产且使用该中小企业商号或者注册商标；</w:t>
      </w:r>
    </w:p>
    <w:p w14:paraId="75649565">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33.3.2.2在工程采购项目中，工程由中小企业承建，即工程施工单位为中小企业；</w:t>
      </w:r>
    </w:p>
    <w:p w14:paraId="0644EA1A">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33.3.2.3在服务采购项目中，服务由中小企业承接，即提供服务的人员为中小企业依照《中华人民共和国劳动合同法》订立劳动合同的从业人员。</w:t>
      </w:r>
    </w:p>
    <w:p w14:paraId="16FD0EEB">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33.3.3在货物采购项目中，供应商提供的货物既有中小企业制造货物，也有大型企业制造货物的，不享受中小企业扶持政策。</w:t>
      </w:r>
    </w:p>
    <w:p w14:paraId="1C618AFC">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33.3.4以联合体形式参加政府采购活动，联合体各方均为中小企业的，联合体视同中小企业。其中，联合体各方均为小微企业的，联合体视同小微企业。</w:t>
      </w:r>
    </w:p>
    <w:p w14:paraId="6CE2EBA0">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3601C49">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33.3.6残疾人福利单位定义：享受政府采购支持政策的残疾人福利性单位应当同时满足以下条件：</w:t>
      </w:r>
    </w:p>
    <w:p w14:paraId="7D07FDB0">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33.3.6.1安置的残疾人占本单位在职职工人数的比例不低于25%（含25%），并且安置的残疾人人数不少于10 人（含10 人）；</w:t>
      </w:r>
    </w:p>
    <w:p w14:paraId="10901646">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33.3.6.2依法与安置的每位残疾人签订了一年以上（含一年）的劳动合同或服务协议；</w:t>
      </w:r>
    </w:p>
    <w:p w14:paraId="0CC45D87">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33.3.6.3为安置的每位残疾人按月足额缴纳了基本养老保险、基本医疗保险、失业保险、工伤保险和生育保险等社会保险费；</w:t>
      </w:r>
    </w:p>
    <w:p w14:paraId="1D23F37B">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33.3.6.4通过银行等金融机构向安置的每位残疾人，按月支付了不低于单位所在区县适用的经省级人民政府批准的月最低工资标准的工资；</w:t>
      </w:r>
    </w:p>
    <w:p w14:paraId="58CEDE8D">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33.3.6.5提供本单位制造的货物、承担的工程或者服务（以下简称产品），或者提供其他残疾人福利性单位制造的货物（不包括使用非残疾人福利性单位注册商标的货物）；</w:t>
      </w:r>
    </w:p>
    <w:p w14:paraId="672C4208">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0713590">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33.3.7本项目是否专门面向中小企业预留采购份额见第一章《招标公告》。</w:t>
      </w:r>
    </w:p>
    <w:p w14:paraId="29F34C7A">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33.3.8采购标的对应的中小企业划分标准所属行业见第四章《采购需求》。</w:t>
      </w:r>
    </w:p>
    <w:p w14:paraId="02AA5149">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33.3.9小微企业价格评审优惠的政策：见第五章《评标方法和评标标准》。</w:t>
      </w:r>
    </w:p>
    <w:p w14:paraId="6F415377">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33.4政府采购节能产品、环境标志产品</w:t>
      </w:r>
    </w:p>
    <w:p w14:paraId="2AA83101">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Calibri" w:hAnsi="Calibri" w:eastAsia="Arial" w:cs="Times New Roman"/>
          <w:b/>
          <w:i/>
          <w:kern w:val="0"/>
          <w:sz w:val="24"/>
          <w:szCs w:val="24"/>
        </w:rPr>
        <w:t>如属政府强制采购产品未提供认证证书的或认证证书提供不全的将视为未实质性响应采购要求</w:t>
      </w:r>
      <w:r>
        <w:rPr>
          <w:rFonts w:hint="eastAsia" w:ascii="Calibri" w:hAnsi="Calibri" w:eastAsia="Arial" w:cs="Times New Roman"/>
          <w:i/>
          <w:kern w:val="0"/>
          <w:sz w:val="24"/>
          <w:szCs w:val="24"/>
        </w:rPr>
        <w:t>。</w:t>
      </w:r>
      <w:r>
        <w:rPr>
          <w:rFonts w:hint="eastAsia" w:ascii="Calibri" w:hAnsi="Calibri" w:eastAsia="Arial" w:cs="Times New Roman"/>
          <w:kern w:val="0"/>
          <w:sz w:val="24"/>
          <w:szCs w:val="24"/>
        </w:rPr>
        <w:t>其他条件相同情况下，应当优先采购节能产品、环境标志产品。</w:t>
      </w:r>
    </w:p>
    <w:p w14:paraId="479D05DC">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D585EC3">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33.5绿色包装</w:t>
      </w:r>
    </w:p>
    <w:p w14:paraId="107DA65C">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E76FDE8">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33.6政府采购创新产品</w:t>
      </w:r>
    </w:p>
    <w:p w14:paraId="3E1E8883">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采购人优先采购各级政府部门公开发布的有效期内的创新产品、创新服务、首台套、首购首用等《目录》的创新产品。</w:t>
      </w:r>
    </w:p>
    <w:p w14:paraId="5AED380A">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 xml:space="preserve">33.7绿色数据中心政策 </w:t>
      </w:r>
    </w:p>
    <w:p w14:paraId="43641BE9">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478E7CC">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33.8履约保证金政策</w:t>
      </w:r>
    </w:p>
    <w:p w14:paraId="156DE907">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确需收取履约保证金的，履约保证金的缴纳形式：</w:t>
      </w:r>
    </w:p>
    <w:p w14:paraId="57B6C1F4">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F743AA9">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 xml:space="preserve"> 如以履约保函（保险）形式缴纳履约保证金，供应商可通过政府采购电子履约保函（保险）平台（www.jsdzbh.com）在线申请履约保函（保险）。</w:t>
      </w:r>
    </w:p>
    <w:p w14:paraId="68070A34">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A95A29A">
      <w:pPr>
        <w:spacing w:line="360" w:lineRule="auto"/>
        <w:ind w:firstLine="560"/>
        <w:jc w:val="left"/>
        <w:rPr>
          <w:rFonts w:hint="default" w:ascii="宋体" w:hAnsi="宋体" w:eastAsia="宋体" w:cs="宋体"/>
          <w:color w:val="000000"/>
          <w:kern w:val="0"/>
          <w:sz w:val="24"/>
          <w:szCs w:val="24"/>
        </w:rPr>
      </w:pPr>
      <w:r>
        <w:rPr>
          <w:rFonts w:hint="eastAsia" w:ascii="宋体" w:hAnsi="宋体" w:eastAsia="宋体" w:cs="宋体"/>
          <w:color w:val="000000"/>
          <w:kern w:val="0"/>
          <w:sz w:val="24"/>
          <w:szCs w:val="24"/>
        </w:rPr>
        <w:t>34. 预付款制度</w:t>
      </w:r>
    </w:p>
    <w:p w14:paraId="347B9161">
      <w:pPr>
        <w:spacing w:line="360" w:lineRule="auto"/>
        <w:ind w:firstLine="560"/>
        <w:jc w:val="left"/>
        <w:rPr>
          <w:rFonts w:hint="default" w:ascii="宋体" w:hAnsi="宋体" w:eastAsia="宋体" w:cs="宋体"/>
          <w:color w:val="000000"/>
          <w:kern w:val="0"/>
          <w:sz w:val="28"/>
        </w:rPr>
      </w:pPr>
      <w:r>
        <w:rPr>
          <w:rFonts w:hint="eastAsia" w:ascii="宋体" w:hAnsi="宋体" w:eastAsia="宋体" w:cs="宋体"/>
          <w:color w:val="000000"/>
          <w:kern w:val="0"/>
          <w:sz w:val="24"/>
          <w:szCs w:val="24"/>
        </w:rPr>
        <w:t>本项目落实预付款制</w:t>
      </w:r>
      <w:r>
        <w:rPr>
          <w:rFonts w:hint="eastAsia" w:ascii="宋体" w:hAnsi="宋体" w:eastAsia="宋体" w:cs="宋体"/>
          <w:color w:val="auto"/>
          <w:kern w:val="0"/>
          <w:sz w:val="24"/>
          <w:szCs w:val="24"/>
        </w:rPr>
        <w:t>度，</w:t>
      </w:r>
      <w:r>
        <w:rPr>
          <w:rFonts w:hint="eastAsia" w:ascii="宋体" w:hAnsi="宋体" w:eastAsia="宋体" w:cs="宋体"/>
          <w:b/>
          <w:color w:val="auto"/>
          <w:kern w:val="0"/>
          <w:sz w:val="24"/>
          <w:szCs w:val="24"/>
        </w:rPr>
        <w:t>预付款比例为：合同总价的</w:t>
      </w:r>
      <w:r>
        <w:rPr>
          <w:rFonts w:hint="default" w:ascii="宋体" w:hAnsi="宋体" w:eastAsia="宋体" w:cs="宋体"/>
          <w:b/>
          <w:color w:val="auto"/>
          <w:kern w:val="0"/>
          <w:sz w:val="24"/>
          <w:szCs w:val="24"/>
          <w:u w:val="single"/>
        </w:rPr>
        <w:t>30</w:t>
      </w:r>
      <w:r>
        <w:rPr>
          <w:rFonts w:hint="eastAsia" w:ascii="宋体" w:hAnsi="宋体" w:eastAsia="宋体" w:cs="宋体"/>
          <w:b/>
          <w:color w:val="auto"/>
          <w:kern w:val="0"/>
          <w:sz w:val="24"/>
          <w:szCs w:val="24"/>
          <w:u w:val="single"/>
        </w:rPr>
        <w:t>%</w:t>
      </w:r>
      <w:r>
        <w:rPr>
          <w:rFonts w:hint="eastAsia" w:ascii="宋体" w:hAnsi="宋体" w:eastAsia="宋体" w:cs="宋体"/>
          <w:color w:val="auto"/>
          <w:kern w:val="0"/>
          <w:sz w:val="24"/>
          <w:szCs w:val="24"/>
        </w:rPr>
        <w:t>。在</w:t>
      </w:r>
      <w:r>
        <w:rPr>
          <w:rFonts w:hint="eastAsia" w:ascii="宋体" w:hAnsi="宋体" w:eastAsia="宋体" w:cs="宋体"/>
          <w:color w:val="000000"/>
          <w:kern w:val="0"/>
          <w:sz w:val="24"/>
          <w:szCs w:val="24"/>
        </w:rPr>
        <w:t>签订合同时，中标、成交供应商明确书面表示无需预付款或者主动要求降低预付款比例的，采购人可就预付款比例作相应调整。</w:t>
      </w:r>
      <w:bookmarkEnd w:id="177"/>
      <w:bookmarkEnd w:id="178"/>
      <w:bookmarkEnd w:id="179"/>
      <w:bookmarkEnd w:id="180"/>
      <w:bookmarkEnd w:id="181"/>
    </w:p>
    <w:p w14:paraId="0C0EEA45">
      <w:pPr>
        <w:ind w:firstLine="480" w:firstLineChars="200"/>
        <w:rPr>
          <w:rFonts w:hint="eastAsia" w:ascii="宋体" w:hAnsi="宋体" w:eastAsia="宋体" w:cs="宋体"/>
          <w:color w:val="auto"/>
          <w:kern w:val="0"/>
          <w:sz w:val="24"/>
          <w:szCs w:val="24"/>
          <w:highlight w:val="none"/>
          <w:lang w:val="en-US" w:eastAsia="zh-CN" w:bidi="ar-SA"/>
        </w:rPr>
      </w:pPr>
    </w:p>
    <w:p w14:paraId="53289C7D">
      <w:pPr>
        <w:pStyle w:val="20"/>
        <w:spacing w:after="0" w:line="520" w:lineRule="exact"/>
        <w:ind w:left="0" w:firstLine="560"/>
        <w:rPr>
          <w:rFonts w:hint="eastAsia" w:ascii="宋体" w:hAnsi="宋体" w:eastAsia="宋体" w:cs="宋体"/>
          <w:color w:val="auto"/>
          <w:kern w:val="0"/>
          <w:sz w:val="24"/>
          <w:szCs w:val="24"/>
          <w:highlight w:val="none"/>
          <w:lang w:val="en-US" w:eastAsia="zh-CN" w:bidi="ar-SA"/>
        </w:rPr>
      </w:pPr>
    </w:p>
    <w:p w14:paraId="33E3FFD4">
      <w:pPr>
        <w:pStyle w:val="8"/>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20F1951">
      <w:pPr>
        <w:pStyle w:val="8"/>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B97EB0F">
      <w:pPr>
        <w:pStyle w:val="8"/>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7219D08">
      <w:pPr>
        <w:pStyle w:val="8"/>
        <w:spacing w:beforeAutospacing="0" w:afterAutospacing="0"/>
        <w:jc w:val="both"/>
        <w:rPr>
          <w:rFonts w:hint="eastAsia" w:ascii="宋体" w:hAnsi="宋体" w:eastAsia="宋体" w:cs="宋体"/>
          <w:sz w:val="24"/>
          <w:szCs w:val="24"/>
          <w:highlight w:val="none"/>
        </w:rPr>
      </w:pPr>
    </w:p>
    <w:p w14:paraId="5DD3B16F">
      <w:pPr>
        <w:pStyle w:val="8"/>
        <w:spacing w:beforeAutospacing="0" w:afterAutospacing="0"/>
        <w:jc w:val="both"/>
        <w:rPr>
          <w:rFonts w:hint="eastAsia" w:ascii="宋体" w:hAnsi="宋体" w:eastAsia="宋体" w:cs="宋体"/>
          <w:sz w:val="24"/>
          <w:szCs w:val="24"/>
          <w:highlight w:val="none"/>
        </w:rPr>
      </w:pPr>
    </w:p>
    <w:p w14:paraId="484F37B1">
      <w:pPr>
        <w:pStyle w:val="8"/>
        <w:spacing w:beforeAutospacing="0" w:afterAutospacing="0"/>
        <w:jc w:val="both"/>
        <w:rPr>
          <w:rFonts w:hint="eastAsia" w:ascii="宋体" w:hAnsi="宋体" w:eastAsia="宋体" w:cs="宋体"/>
          <w:sz w:val="24"/>
          <w:szCs w:val="24"/>
          <w:highlight w:val="none"/>
        </w:rPr>
      </w:pPr>
    </w:p>
    <w:p w14:paraId="33B8BA0B">
      <w:pPr>
        <w:pStyle w:val="8"/>
        <w:spacing w:beforeAutospacing="0" w:afterAutospacing="0"/>
        <w:jc w:val="both"/>
        <w:rPr>
          <w:highlight w:val="none"/>
        </w:rPr>
      </w:pPr>
    </w:p>
    <w:p w14:paraId="176D95B0">
      <w:pPr>
        <w:pStyle w:val="8"/>
        <w:spacing w:beforeAutospacing="0" w:afterAutospacing="0"/>
        <w:jc w:val="both"/>
        <w:rPr>
          <w:highlight w:val="none"/>
        </w:rPr>
      </w:pPr>
    </w:p>
    <w:p w14:paraId="2FC42BEF">
      <w:pPr>
        <w:pStyle w:val="8"/>
        <w:spacing w:beforeAutospacing="0" w:afterAutospacing="0"/>
        <w:jc w:val="both"/>
        <w:rPr>
          <w:highlight w:val="none"/>
        </w:rPr>
      </w:pPr>
    </w:p>
    <w:p w14:paraId="4F543183">
      <w:pPr>
        <w:pStyle w:val="8"/>
        <w:spacing w:beforeAutospacing="0" w:afterAutospacing="0"/>
        <w:jc w:val="both"/>
        <w:rPr>
          <w:highlight w:val="none"/>
        </w:rPr>
      </w:pPr>
    </w:p>
    <w:p w14:paraId="42A19CE3">
      <w:pPr>
        <w:pStyle w:val="8"/>
        <w:spacing w:beforeAutospacing="0" w:afterAutospacing="0"/>
        <w:jc w:val="both"/>
        <w:rPr>
          <w:highlight w:val="none"/>
        </w:rPr>
      </w:pPr>
    </w:p>
    <w:p w14:paraId="0A270C17">
      <w:pPr>
        <w:pStyle w:val="8"/>
        <w:spacing w:beforeAutospacing="0" w:afterAutospacing="0"/>
        <w:jc w:val="both"/>
        <w:rPr>
          <w:highlight w:val="none"/>
        </w:rPr>
      </w:pPr>
    </w:p>
    <w:p w14:paraId="327C4F4C">
      <w:pPr>
        <w:pStyle w:val="8"/>
        <w:spacing w:beforeAutospacing="0" w:afterAutospacing="0"/>
        <w:jc w:val="both"/>
        <w:rPr>
          <w:highlight w:val="none"/>
        </w:rPr>
      </w:pPr>
    </w:p>
    <w:p w14:paraId="6A32CD3F">
      <w:pPr>
        <w:pStyle w:val="8"/>
        <w:spacing w:beforeAutospacing="0" w:afterAutospacing="0"/>
        <w:jc w:val="both"/>
        <w:rPr>
          <w:highlight w:val="none"/>
        </w:rPr>
      </w:pPr>
    </w:p>
    <w:p w14:paraId="68256234">
      <w:pPr>
        <w:pStyle w:val="8"/>
        <w:spacing w:beforeAutospacing="0" w:afterAutospacing="0"/>
        <w:jc w:val="both"/>
        <w:rPr>
          <w:highlight w:val="none"/>
        </w:rPr>
      </w:pPr>
    </w:p>
    <w:p w14:paraId="4933F7EA">
      <w:pPr>
        <w:pStyle w:val="8"/>
        <w:spacing w:beforeAutospacing="0" w:afterAutospacing="0" w:line="0" w:lineRule="atLeast"/>
        <w:jc w:val="both"/>
        <w:rPr>
          <w:highlight w:val="none"/>
        </w:rPr>
      </w:pPr>
      <w:r>
        <w:rPr>
          <w:highlight w:val="none"/>
        </w:rPr>
        <w:t> </w:t>
      </w:r>
    </w:p>
    <w:p w14:paraId="4B5F750D">
      <w:pPr>
        <w:pStyle w:val="8"/>
        <w:spacing w:beforeAutospacing="0" w:afterAutospacing="0" w:line="0" w:lineRule="atLeast"/>
        <w:jc w:val="both"/>
        <w:rPr>
          <w:highlight w:val="none"/>
        </w:rPr>
      </w:pPr>
      <w:r>
        <w:rPr>
          <w:highlight w:val="none"/>
        </w:rPr>
        <w:t> </w:t>
      </w:r>
    </w:p>
    <w:p w14:paraId="31AFAA53">
      <w:pPr>
        <w:pStyle w:val="8"/>
        <w:spacing w:beforeAutospacing="0" w:afterAutospacing="0" w:line="0" w:lineRule="atLeast"/>
        <w:jc w:val="both"/>
        <w:rPr>
          <w:highlight w:val="none"/>
        </w:rPr>
      </w:pPr>
      <w:r>
        <w:rPr>
          <w:highlight w:val="none"/>
        </w:rPr>
        <w:t> </w:t>
      </w:r>
    </w:p>
    <w:p w14:paraId="7D0C094D">
      <w:pPr>
        <w:widowControl/>
        <w:spacing w:line="360" w:lineRule="auto"/>
        <w:jc w:val="center"/>
        <w:rPr>
          <w:rFonts w:ascii="宋体" w:hAnsi="宋体" w:cs="宋体"/>
          <w:b/>
          <w:sz w:val="48"/>
          <w:szCs w:val="44"/>
          <w:highlight w:val="none"/>
        </w:rPr>
      </w:pPr>
      <w:r>
        <w:rPr>
          <w:sz w:val="36"/>
          <w:szCs w:val="44"/>
          <w:highlight w:val="none"/>
        </w:rPr>
        <w:t> </w:t>
      </w:r>
      <w:bookmarkStart w:id="182" w:name="_Toc479757211"/>
      <w:bookmarkStart w:id="183" w:name="_Toc462564139"/>
      <w:bookmarkStart w:id="184" w:name="_Toc20823346"/>
      <w:bookmarkStart w:id="185" w:name="_Hlt16619350"/>
      <w:bookmarkStart w:id="186" w:name="_Toc16938590"/>
      <w:bookmarkStart w:id="187" w:name="_Toc120614244"/>
      <w:bookmarkStart w:id="188" w:name="_Hlt16619369"/>
      <w:r>
        <w:rPr>
          <w:rFonts w:hint="eastAsia" w:ascii="宋体" w:hAnsi="宋体" w:cs="宋体"/>
          <w:b/>
          <w:sz w:val="48"/>
          <w:szCs w:val="44"/>
          <w:highlight w:val="none"/>
        </w:rPr>
        <w:t>第三</w:t>
      </w:r>
      <w:r>
        <w:rPr>
          <w:rFonts w:hint="eastAsia" w:ascii="宋体" w:hAnsi="宋体" w:cs="宋体"/>
          <w:b/>
          <w:sz w:val="48"/>
          <w:szCs w:val="44"/>
          <w:highlight w:val="none"/>
          <w:lang w:eastAsia="zh-CN"/>
        </w:rPr>
        <w:t>章</w:t>
      </w:r>
      <w:r>
        <w:rPr>
          <w:rFonts w:hint="eastAsia" w:ascii="宋体" w:hAnsi="宋体" w:cs="宋体"/>
          <w:b/>
          <w:sz w:val="48"/>
          <w:szCs w:val="44"/>
          <w:highlight w:val="none"/>
        </w:rPr>
        <w:t xml:space="preserve">  合同条款</w:t>
      </w:r>
    </w:p>
    <w:p w14:paraId="7C62F2F4">
      <w:pPr>
        <w:rPr>
          <w:rFonts w:ascii="宋体" w:hAnsi="宋体" w:cs="宋体"/>
          <w:highlight w:val="none"/>
        </w:rPr>
      </w:pPr>
      <w:bookmarkStart w:id="189" w:name="EB6d2006462e294de090c16e672cecc3bd"/>
    </w:p>
    <w:bookmarkEnd w:id="189"/>
    <w:p w14:paraId="0F89D1C7">
      <w:pPr>
        <w:jc w:val="center"/>
        <w:rPr>
          <w:rFonts w:ascii="宋体" w:hAnsi="宋体" w:cs="宋体"/>
          <w:b/>
          <w:bCs/>
          <w:spacing w:val="-20"/>
          <w:sz w:val="48"/>
          <w:szCs w:val="48"/>
          <w:highlight w:val="none"/>
        </w:rPr>
      </w:pPr>
      <w:bookmarkStart w:id="190" w:name="_Toc3995"/>
    </w:p>
    <w:p w14:paraId="2728A11A">
      <w:pPr>
        <w:jc w:val="center"/>
        <w:rPr>
          <w:rFonts w:ascii="宋体" w:hAnsi="宋体" w:cs="宋体"/>
          <w:b/>
          <w:bCs/>
          <w:spacing w:val="-20"/>
          <w:sz w:val="48"/>
          <w:szCs w:val="48"/>
          <w:highlight w:val="none"/>
        </w:rPr>
      </w:pPr>
    </w:p>
    <w:p w14:paraId="61A63262">
      <w:pPr>
        <w:jc w:val="center"/>
        <w:rPr>
          <w:rFonts w:ascii="宋体" w:hAnsi="宋体" w:cs="宋体"/>
          <w:b/>
          <w:bCs/>
          <w:spacing w:val="-20"/>
          <w:sz w:val="48"/>
          <w:szCs w:val="48"/>
          <w:highlight w:val="none"/>
        </w:rPr>
      </w:pPr>
    </w:p>
    <w:p w14:paraId="5544CBCE">
      <w:pPr>
        <w:jc w:val="center"/>
        <w:rPr>
          <w:rFonts w:ascii="宋体" w:hAnsi="宋体" w:cs="宋体"/>
          <w:b/>
          <w:bCs/>
          <w:spacing w:val="-20"/>
          <w:sz w:val="48"/>
          <w:szCs w:val="48"/>
          <w:highlight w:val="none"/>
        </w:rPr>
      </w:pPr>
    </w:p>
    <w:p w14:paraId="6038FDA2">
      <w:pPr>
        <w:jc w:val="center"/>
        <w:rPr>
          <w:rFonts w:ascii="宋体" w:hAnsi="宋体" w:cs="宋体"/>
          <w:sz w:val="30"/>
          <w:highlight w:val="none"/>
        </w:rPr>
      </w:pPr>
    </w:p>
    <w:p w14:paraId="7023E608">
      <w:pPr>
        <w:jc w:val="center"/>
        <w:rPr>
          <w:rFonts w:ascii="宋体" w:hAnsi="宋体" w:cs="宋体"/>
          <w:sz w:val="30"/>
          <w:highlight w:val="none"/>
        </w:rPr>
      </w:pPr>
      <w:r>
        <w:rPr>
          <w:rFonts w:hint="eastAsia" w:ascii="宋体" w:hAnsi="宋体" w:cs="宋体"/>
          <w:sz w:val="30"/>
          <w:highlight w:val="none"/>
        </w:rPr>
        <w:t>政府采购货物买卖合同</w:t>
      </w:r>
    </w:p>
    <w:p w14:paraId="39A221D5">
      <w:pPr>
        <w:jc w:val="center"/>
        <w:rPr>
          <w:rFonts w:ascii="宋体" w:hAnsi="宋体" w:cs="宋体"/>
          <w:sz w:val="30"/>
          <w:highlight w:val="none"/>
        </w:rPr>
      </w:pPr>
    </w:p>
    <w:p w14:paraId="7EE671B2">
      <w:pPr>
        <w:rPr>
          <w:rFonts w:ascii="宋体" w:hAnsi="宋体" w:cs="宋体"/>
          <w:sz w:val="30"/>
          <w:highlight w:val="none"/>
        </w:rPr>
      </w:pPr>
    </w:p>
    <w:p w14:paraId="149DABE6">
      <w:pPr>
        <w:rPr>
          <w:rFonts w:ascii="宋体" w:hAnsi="宋体" w:cs="宋体"/>
          <w:sz w:val="30"/>
          <w:highlight w:val="none"/>
        </w:rPr>
      </w:pPr>
    </w:p>
    <w:p w14:paraId="7E6C9959">
      <w:pPr>
        <w:rPr>
          <w:rFonts w:ascii="宋体" w:hAnsi="宋体" w:cs="宋体"/>
          <w:sz w:val="30"/>
          <w:highlight w:val="none"/>
        </w:rPr>
      </w:pPr>
    </w:p>
    <w:p w14:paraId="3BB3AA36">
      <w:pPr>
        <w:spacing w:line="360" w:lineRule="auto"/>
        <w:ind w:left="420"/>
        <w:rPr>
          <w:rFonts w:ascii="宋体" w:hAnsi="宋体" w:cs="宋体"/>
          <w:sz w:val="30"/>
          <w:highlight w:val="none"/>
        </w:rPr>
      </w:pPr>
      <w:r>
        <w:rPr>
          <w:rFonts w:hint="eastAsia" w:ascii="宋体" w:hAnsi="宋体" w:cs="宋体"/>
          <w:sz w:val="30"/>
          <w:highlight w:val="none"/>
        </w:rPr>
        <w:t>项目名称：</w:t>
      </w:r>
    </w:p>
    <w:p w14:paraId="11A1D3A4">
      <w:pPr>
        <w:spacing w:line="360" w:lineRule="auto"/>
        <w:ind w:left="420"/>
        <w:rPr>
          <w:rFonts w:ascii="宋体" w:hAnsi="宋体" w:cs="宋体"/>
          <w:sz w:val="30"/>
          <w:highlight w:val="none"/>
        </w:rPr>
      </w:pPr>
      <w:r>
        <w:rPr>
          <w:rFonts w:hint="eastAsia" w:ascii="宋体" w:hAnsi="宋体" w:cs="宋体"/>
          <w:sz w:val="30"/>
          <w:highlight w:val="none"/>
        </w:rPr>
        <w:t>合同编号：</w:t>
      </w:r>
    </w:p>
    <w:p w14:paraId="7691FC79">
      <w:pPr>
        <w:spacing w:line="360" w:lineRule="auto"/>
        <w:ind w:left="420"/>
        <w:rPr>
          <w:rFonts w:ascii="宋体" w:hAnsi="宋体" w:cs="宋体"/>
          <w:sz w:val="30"/>
          <w:highlight w:val="none"/>
        </w:rPr>
      </w:pPr>
      <w:r>
        <w:rPr>
          <w:rFonts w:hint="eastAsia" w:ascii="宋体" w:hAnsi="宋体" w:cs="宋体"/>
          <w:sz w:val="30"/>
          <w:highlight w:val="none"/>
        </w:rPr>
        <w:t>甲    方：</w:t>
      </w:r>
    </w:p>
    <w:p w14:paraId="2F6A467E">
      <w:pPr>
        <w:spacing w:line="360" w:lineRule="auto"/>
        <w:ind w:left="420"/>
        <w:rPr>
          <w:rFonts w:ascii="宋体" w:hAnsi="宋体" w:cs="宋体"/>
          <w:sz w:val="30"/>
          <w:highlight w:val="none"/>
        </w:rPr>
      </w:pPr>
      <w:r>
        <w:rPr>
          <w:rFonts w:hint="eastAsia" w:ascii="宋体" w:hAnsi="宋体" w:cs="宋体"/>
          <w:sz w:val="30"/>
          <w:highlight w:val="none"/>
        </w:rPr>
        <w:t>乙    方：</w:t>
      </w:r>
    </w:p>
    <w:p w14:paraId="2B606E10">
      <w:pPr>
        <w:spacing w:line="360" w:lineRule="auto"/>
        <w:ind w:left="420"/>
        <w:rPr>
          <w:rFonts w:ascii="宋体" w:hAnsi="宋体" w:cs="宋体"/>
          <w:sz w:val="30"/>
          <w:highlight w:val="none"/>
        </w:rPr>
      </w:pPr>
      <w:r>
        <w:rPr>
          <w:rFonts w:hint="eastAsia" w:ascii="宋体" w:hAnsi="宋体" w:cs="宋体"/>
          <w:sz w:val="30"/>
          <w:highlight w:val="none"/>
        </w:rPr>
        <w:t>签订时间：</w:t>
      </w:r>
    </w:p>
    <w:p w14:paraId="178BC0A1">
      <w:pPr>
        <w:rPr>
          <w:highlight w:val="none"/>
        </w:rPr>
      </w:pPr>
    </w:p>
    <w:p w14:paraId="7B8C5833">
      <w:pPr>
        <w:rPr>
          <w:rFonts w:eastAsia="黑体"/>
          <w:sz w:val="44"/>
          <w:szCs w:val="44"/>
          <w:highlight w:val="none"/>
        </w:rPr>
      </w:pPr>
      <w:r>
        <w:rPr>
          <w:rFonts w:eastAsia="黑体"/>
          <w:sz w:val="44"/>
          <w:szCs w:val="44"/>
          <w:highlight w:val="none"/>
        </w:rPr>
        <w:br w:type="page" w:clear="all"/>
      </w:r>
    </w:p>
    <w:p w14:paraId="10FC3B74">
      <w:pPr>
        <w:jc w:val="center"/>
        <w:rPr>
          <w:rFonts w:eastAsia="黑体"/>
          <w:sz w:val="44"/>
          <w:szCs w:val="44"/>
          <w:highlight w:val="none"/>
        </w:rPr>
      </w:pPr>
      <w:r>
        <w:rPr>
          <w:rFonts w:hint="eastAsia" w:eastAsia="黑体"/>
          <w:sz w:val="44"/>
          <w:szCs w:val="44"/>
          <w:highlight w:val="none"/>
        </w:rPr>
        <w:t>使用说明</w:t>
      </w:r>
    </w:p>
    <w:p w14:paraId="46640D5A">
      <w:pPr>
        <w:ind w:firstLine="640"/>
        <w:rPr>
          <w:rFonts w:ascii="仿宋_GB2312" w:hAnsi="仿宋_GB2312" w:eastAsia="仿宋_GB2312" w:cs="仿宋_GB2312"/>
          <w:sz w:val="32"/>
          <w:szCs w:val="32"/>
          <w:highlight w:val="none"/>
        </w:rPr>
      </w:pPr>
    </w:p>
    <w:p w14:paraId="26D161FD">
      <w:pPr>
        <w:spacing w:line="360" w:lineRule="auto"/>
        <w:ind w:firstLine="64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1.本合同标准文本适用于购买现成货物的采购项目，不包括需要供应商定制开发、创新研发的货物采购项目。</w:t>
      </w:r>
    </w:p>
    <w:p w14:paraId="5E74DF6D">
      <w:pPr>
        <w:spacing w:line="360" w:lineRule="auto"/>
        <w:rPr>
          <w:rFonts w:eastAsia="黑体"/>
          <w:sz w:val="40"/>
          <w:szCs w:val="40"/>
          <w:highlight w:val="none"/>
        </w:rPr>
      </w:pPr>
      <w:r>
        <w:rPr>
          <w:rFonts w:hint="eastAsia" w:ascii="仿宋_GB2312" w:hAnsi="仿宋_GB2312" w:eastAsia="仿宋_GB2312" w:cs="仿宋_GB2312"/>
          <w:sz w:val="28"/>
          <w:szCs w:val="28"/>
          <w:highlight w:val="none"/>
        </w:rPr>
        <w:t>2.本合同标准文本为政府采购货物买卖合同编制提供参考，可以结合采购项目具体情况，对文本作必要的调整修订后使用。</w:t>
      </w:r>
    </w:p>
    <w:p w14:paraId="49578DCE">
      <w:pPr>
        <w:spacing w:line="360" w:lineRule="auto"/>
        <w:ind w:firstLine="640"/>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3.本合同标准文本各条款中，如涉及填写多家供应商、制造商，多种采购标的、分包主要内容等信息的，可根据采购项目具体情况添加信息项。</w:t>
      </w:r>
    </w:p>
    <w:p w14:paraId="43B8AC10">
      <w:pPr>
        <w:ind w:firstLine="880"/>
        <w:rPr>
          <w:rFonts w:eastAsia="黑体"/>
          <w:sz w:val="44"/>
          <w:szCs w:val="44"/>
          <w:highlight w:val="none"/>
        </w:rPr>
        <w:sectPr>
          <w:footerReference r:id="rId5" w:type="default"/>
          <w:pgSz w:w="11906" w:h="16838"/>
          <w:pgMar w:top="1440" w:right="1800" w:bottom="1440" w:left="1800" w:header="851" w:footer="794" w:gutter="0"/>
          <w:pgBorders>
            <w:top w:val="none" w:sz="0" w:space="0"/>
            <w:left w:val="none" w:sz="0" w:space="0"/>
            <w:bottom w:val="none" w:sz="0" w:space="0"/>
            <w:right w:val="none" w:sz="0" w:space="0"/>
          </w:pgBorders>
          <w:pgNumType w:fmt="decimal" w:start="1"/>
          <w:cols w:space="425" w:num="1"/>
          <w:docGrid w:linePitch="360" w:charSpace="0"/>
        </w:sectPr>
      </w:pPr>
    </w:p>
    <w:bookmarkEnd w:id="190"/>
    <w:p w14:paraId="24AB6C21">
      <w:pPr>
        <w:keepNext/>
        <w:keepLines/>
        <w:spacing w:line="400" w:lineRule="exact"/>
        <w:jc w:val="center"/>
        <w:outlineLvl w:val="1"/>
        <w:rPr>
          <w:rFonts w:ascii="黑体" w:hAnsi="华文中宋" w:eastAsia="黑体"/>
          <w:sz w:val="28"/>
          <w:szCs w:val="28"/>
          <w:highlight w:val="none"/>
        </w:rPr>
      </w:pPr>
      <w:bookmarkStart w:id="191"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bookmarkEnd w:id="191"/>
    </w:p>
    <w:p w14:paraId="204F39D4">
      <w:pPr>
        <w:keepNext/>
        <w:keepLines/>
        <w:spacing w:line="360" w:lineRule="auto"/>
        <w:jc w:val="center"/>
        <w:outlineLvl w:val="1"/>
        <w:rPr>
          <w:rFonts w:ascii="黑体" w:hAnsi="华文中宋" w:eastAsia="黑体"/>
          <w:sz w:val="28"/>
          <w:szCs w:val="28"/>
          <w:highlight w:val="none"/>
        </w:rPr>
      </w:pPr>
    </w:p>
    <w:p w14:paraId="343FEEC8">
      <w:pPr>
        <w:spacing w:line="360" w:lineRule="auto"/>
        <w:rPr>
          <w:rFonts w:hint="default" w:ascii="宋体" w:hAnsi="宋体" w:eastAsiaTheme="minorEastAsia"/>
          <w:sz w:val="24"/>
          <w:highlight w:val="none"/>
          <w:lang w:val="en-US" w:eastAsia="zh-CN"/>
        </w:rPr>
      </w:pPr>
      <w:r>
        <w:rPr>
          <w:rFonts w:hint="eastAsia" w:ascii="宋体" w:hAnsi="宋体"/>
          <w:sz w:val="24"/>
          <w:highlight w:val="none"/>
        </w:rPr>
        <w:t>甲方（全称）：</w:t>
      </w:r>
      <w:r>
        <w:rPr>
          <w:rFonts w:hint="eastAsia" w:ascii="宋体" w:hAnsi="宋体"/>
          <w:sz w:val="24"/>
          <w:highlight w:val="none"/>
          <w:lang w:val="en-US" w:eastAsia="zh-CN"/>
        </w:rPr>
        <w:t>东台市东台镇人民政府</w:t>
      </w:r>
    </w:p>
    <w:p w14:paraId="23DA8236">
      <w:pPr>
        <w:spacing w:line="360" w:lineRule="auto"/>
        <w:rPr>
          <w:rFonts w:ascii="宋体" w:hAnsi="宋体"/>
          <w:sz w:val="24"/>
          <w:highlight w:val="none"/>
        </w:rPr>
      </w:pPr>
      <w:r>
        <w:rPr>
          <w:rFonts w:hint="eastAsia" w:ascii="宋体" w:hAnsi="宋体"/>
          <w:sz w:val="24"/>
          <w:highlight w:val="none"/>
        </w:rPr>
        <w:t>乙方（全称）：</w:t>
      </w:r>
      <w:r>
        <w:rPr>
          <w:rFonts w:ascii="宋体" w:hAnsi="宋体"/>
          <w:sz w:val="24"/>
          <w:highlight w:val="none"/>
        </w:rPr>
        <w:t xml:space="preserve"> </w:t>
      </w:r>
    </w:p>
    <w:p w14:paraId="7E89D3F7">
      <w:pPr>
        <w:spacing w:line="360" w:lineRule="auto"/>
        <w:ind w:firstLine="480"/>
        <w:rPr>
          <w:rFonts w:ascii="宋体" w:hAnsi="宋体"/>
          <w:sz w:val="24"/>
          <w:highlight w:val="none"/>
        </w:rPr>
      </w:pPr>
      <w:r>
        <w:rPr>
          <w:rFonts w:hint="eastAsia" w:ascii="宋体" w:hAnsi="宋体"/>
          <w:sz w:val="24"/>
          <w:highlight w:val="none"/>
        </w:rPr>
        <w:t>依据《中华人民共和国民法典</w:t>
      </w:r>
      <w:r>
        <w:rPr>
          <w:rFonts w:hint="eastAsia" w:ascii="宋体" w:hAnsi="宋体"/>
          <w:sz w:val="24"/>
          <w:highlight w:val="none"/>
          <w:lang w:eastAsia="zh-CN"/>
        </w:rPr>
        <w:t>》《</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p>
    <w:p w14:paraId="2AF584B0">
      <w:pPr>
        <w:numPr>
          <w:ilvl w:val="0"/>
          <w:numId w:val="1"/>
        </w:numPr>
        <w:spacing w:line="360" w:lineRule="auto"/>
        <w:ind w:firstLine="482"/>
        <w:rPr>
          <w:rFonts w:ascii="宋体" w:hAnsi="宋体"/>
          <w:b/>
          <w:sz w:val="24"/>
          <w:highlight w:val="none"/>
        </w:rPr>
      </w:pPr>
      <w:r>
        <w:rPr>
          <w:rFonts w:hint="eastAsia" w:ascii="宋体" w:hAnsi="宋体"/>
          <w:b/>
          <w:sz w:val="24"/>
          <w:highlight w:val="none"/>
        </w:rPr>
        <w:t>项目信息</w:t>
      </w:r>
    </w:p>
    <w:p w14:paraId="118ED24F">
      <w:pPr>
        <w:numPr>
          <w:ilvl w:val="0"/>
          <w:numId w:val="2"/>
        </w:numPr>
        <w:spacing w:line="360" w:lineRule="auto"/>
        <w:ind w:firstLine="480"/>
        <w:rPr>
          <w:rFonts w:ascii="宋体" w:hAnsi="宋体"/>
          <w:sz w:val="24"/>
          <w:highlight w:val="none"/>
          <w:u w:val="single"/>
        </w:rPr>
      </w:pPr>
      <w:r>
        <w:rPr>
          <w:rFonts w:hint="eastAsia" w:ascii="宋体" w:hAnsi="宋体"/>
          <w:sz w:val="24"/>
          <w:highlight w:val="none"/>
        </w:rPr>
        <w:t>采购项目名称：</w:t>
      </w:r>
      <w:r>
        <w:rPr>
          <w:rFonts w:hint="eastAsia" w:ascii="宋体" w:hAnsi="宋体"/>
          <w:sz w:val="24"/>
          <w:highlight w:val="none"/>
          <w:lang w:val="en-US" w:eastAsia="zh-CN"/>
        </w:rPr>
        <w:t>时堰镇、海陵南路、富安镇、安丰镇2025年政府专职消防队装备器材采购项目（包</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w:t>
      </w:r>
    </w:p>
    <w:p w14:paraId="3A0A2DD0">
      <w:pPr>
        <w:numPr>
          <w:ilvl w:val="255"/>
          <w:numId w:val="0"/>
        </w:numPr>
        <w:tabs>
          <w:tab w:val="left" w:pos="999"/>
        </w:tabs>
        <w:spacing w:line="360" w:lineRule="auto"/>
        <w:rPr>
          <w:rFonts w:ascii="宋体" w:hAnsi="宋体"/>
          <w:sz w:val="24"/>
          <w:highlight w:val="none"/>
        </w:rPr>
      </w:pPr>
      <w:r>
        <w:rPr>
          <w:rFonts w:hint="eastAsia" w:ascii="宋体" w:hAnsi="宋体"/>
          <w:sz w:val="24"/>
          <w:highlight w:val="none"/>
        </w:rPr>
        <w:t xml:space="preserve">         采购项目编号：</w:t>
      </w:r>
    </w:p>
    <w:p w14:paraId="674EB6FB">
      <w:pPr>
        <w:spacing w:line="360" w:lineRule="auto"/>
        <w:ind w:firstLine="480"/>
        <w:rPr>
          <w:rFonts w:ascii="宋体" w:hAnsi="宋体"/>
          <w:sz w:val="24"/>
          <w:highlight w:val="none"/>
        </w:rPr>
      </w:pPr>
      <w:r>
        <w:rPr>
          <w:rFonts w:hint="eastAsia" w:ascii="宋体" w:hAnsi="宋体"/>
          <w:sz w:val="24"/>
          <w:highlight w:val="none"/>
        </w:rPr>
        <w:t>（2）采购计划编号：</w:t>
      </w:r>
    </w:p>
    <w:p w14:paraId="5633757A">
      <w:pPr>
        <w:spacing w:line="360" w:lineRule="auto"/>
        <w:ind w:firstLine="480"/>
        <w:rPr>
          <w:rFonts w:ascii="宋体" w:hAnsi="宋体"/>
          <w:sz w:val="24"/>
          <w:highlight w:val="none"/>
        </w:rPr>
      </w:pPr>
      <w:r>
        <w:rPr>
          <w:rFonts w:hint="eastAsia" w:ascii="宋体" w:hAnsi="宋体"/>
          <w:sz w:val="24"/>
          <w:highlight w:val="none"/>
        </w:rPr>
        <w:t>（3）项目内容：</w:t>
      </w:r>
    </w:p>
    <w:p w14:paraId="0DF92509">
      <w:pPr>
        <w:spacing w:line="360" w:lineRule="auto"/>
        <w:ind w:firstLine="480"/>
        <w:rPr>
          <w:rFonts w:ascii="宋体" w:hAnsi="宋体"/>
          <w:sz w:val="24"/>
          <w:highlight w:val="none"/>
        </w:rPr>
      </w:pPr>
      <w:r>
        <w:rPr>
          <w:rFonts w:hint="eastAsia" w:ascii="宋体" w:hAnsi="宋体"/>
          <w:sz w:val="24"/>
          <w:highlight w:val="none"/>
        </w:rPr>
        <w:t>采购标的及数量（台/套</w:t>
      </w:r>
      <w:r>
        <w:rPr>
          <w:rFonts w:ascii="宋体" w:hAnsi="宋体"/>
          <w:sz w:val="24"/>
          <w:highlight w:val="none"/>
        </w:rPr>
        <w:t>/</w:t>
      </w:r>
      <w:r>
        <w:rPr>
          <w:rFonts w:hint="eastAsia" w:ascii="宋体" w:hAnsi="宋体"/>
          <w:sz w:val="24"/>
          <w:highlight w:val="none"/>
        </w:rPr>
        <w:t>个</w:t>
      </w:r>
      <w:r>
        <w:rPr>
          <w:rFonts w:ascii="宋体" w:hAnsi="宋体"/>
          <w:sz w:val="24"/>
          <w:highlight w:val="none"/>
        </w:rPr>
        <w:t>/</w:t>
      </w:r>
      <w:r>
        <w:rPr>
          <w:rFonts w:hint="eastAsia" w:ascii="宋体" w:hAnsi="宋体"/>
          <w:sz w:val="24"/>
          <w:highlight w:val="none"/>
        </w:rPr>
        <w:t>架</w:t>
      </w:r>
      <w:r>
        <w:rPr>
          <w:rFonts w:ascii="宋体" w:hAnsi="宋体"/>
          <w:sz w:val="24"/>
          <w:highlight w:val="none"/>
        </w:rPr>
        <w:t>/</w:t>
      </w:r>
      <w:r>
        <w:rPr>
          <w:rFonts w:hint="eastAsia" w:ascii="宋体" w:hAnsi="宋体"/>
          <w:sz w:val="24"/>
          <w:highlight w:val="none"/>
        </w:rPr>
        <w:t>组等）：</w:t>
      </w:r>
    </w:p>
    <w:p w14:paraId="1B296676">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品牌：规格型号：</w:t>
      </w:r>
    </w:p>
    <w:p w14:paraId="61145A70">
      <w:pPr>
        <w:spacing w:line="360" w:lineRule="auto"/>
        <w:ind w:firstLine="1080"/>
        <w:rPr>
          <w:rFonts w:ascii="宋体" w:hAnsi="宋体"/>
          <w:sz w:val="24"/>
          <w:highlight w:val="none"/>
          <w:u w:val="single"/>
        </w:rPr>
      </w:pPr>
      <w:r>
        <w:rPr>
          <w:rFonts w:hint="eastAsia" w:ascii="宋体" w:hAnsi="宋体"/>
          <w:sz w:val="24"/>
          <w:highlight w:val="none"/>
        </w:rPr>
        <w:t>采购标的的技术要求、商务要求具体见附件。</w:t>
      </w:r>
    </w:p>
    <w:p w14:paraId="27925FC9">
      <w:pPr>
        <w:numPr>
          <w:ilvl w:val="255"/>
          <w:numId w:val="0"/>
        </w:numPr>
        <w:spacing w:line="360" w:lineRule="auto"/>
        <w:ind w:firstLine="1080"/>
        <w:rPr>
          <w:rFonts w:ascii="宋体" w:hAnsi="宋体" w:cs="宋体"/>
          <w:sz w:val="24"/>
          <w:highlight w:val="none"/>
        </w:rPr>
      </w:pPr>
      <w:r>
        <w:rPr>
          <w:rFonts w:hint="eastAsia" w:ascii="宋体" w:hAnsi="宋体" w:cs="宋体"/>
          <w:sz w:val="24"/>
          <w:highlight w:val="none"/>
        </w:rPr>
        <w:t>①涉及信息类产品，请填写该产品关键部件的品牌、型号：</w:t>
      </w:r>
    </w:p>
    <w:p w14:paraId="5B328135">
      <w:pPr>
        <w:numPr>
          <w:ilvl w:val="255"/>
          <w:numId w:val="0"/>
        </w:numPr>
        <w:spacing w:line="360" w:lineRule="auto"/>
        <w:ind w:firstLine="480"/>
        <w:rPr>
          <w:rFonts w:ascii="宋体" w:hAnsi="宋体" w:cs="宋体"/>
          <w:sz w:val="24"/>
          <w:highlight w:val="none"/>
          <w:u w:val="single"/>
        </w:rPr>
      </w:pPr>
      <w:r>
        <w:rPr>
          <w:rFonts w:hint="eastAsia" w:ascii="宋体" w:hAnsi="宋体" w:cs="宋体"/>
          <w:sz w:val="24"/>
          <w:highlight w:val="none"/>
        </w:rPr>
        <w:t xml:space="preserve">     标的名称：</w:t>
      </w:r>
    </w:p>
    <w:p w14:paraId="45E49564">
      <w:pPr>
        <w:adjustRightInd w:val="0"/>
        <w:snapToGrid w:val="0"/>
        <w:spacing w:line="400" w:lineRule="exact"/>
        <w:ind w:firstLine="480" w:firstLineChars="200"/>
        <w:rPr>
          <w:rFonts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t>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246414A4">
      <w:pPr>
        <w:pStyle w:val="17"/>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14:paraId="26BE6264">
      <w:pPr>
        <w:pStyle w:val="17"/>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14:paraId="7B2AC9BB">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4B9732A3">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②涉及车辆采购，请填写是否属于新能源汽车：</w:t>
      </w:r>
    </w:p>
    <w:p w14:paraId="4A6BB128">
      <w:pPr>
        <w:widowControl/>
        <w:numPr>
          <w:ilvl w:val="255"/>
          <w:numId w:val="0"/>
        </w:numPr>
        <w:spacing w:line="360" w:lineRule="auto"/>
        <w:jc w:val="left"/>
        <w:rPr>
          <w:rFonts w:ascii="宋体" w:hAnsi="宋体" w:cs="宋体"/>
          <w:sz w:val="24"/>
          <w:highlight w:val="none"/>
        </w:rPr>
      </w:pPr>
      <w:r>
        <w:rPr>
          <w:rFonts w:ascii="Wingdings" w:hAnsi="Wingdings" w:eastAsia="Wingdings" w:cs="Wingdings"/>
          <w:sz w:val="24"/>
          <w:highlight w:val="none"/>
        </w:rPr>
        <w:t></w:t>
      </w:r>
      <w:r>
        <w:rPr>
          <w:rFonts w:hint="eastAsia" w:ascii="宋体" w:hAnsi="宋体" w:cs="宋体"/>
          <w:sz w:val="24"/>
          <w:highlight w:val="none"/>
        </w:rPr>
        <w:t>是，《政府采购品目分类目录》底级品目名称： 数量： 金额：</w:t>
      </w:r>
    </w:p>
    <w:p w14:paraId="26EAD61D">
      <w:pPr>
        <w:widowControl/>
        <w:numPr>
          <w:ilvl w:val="255"/>
          <w:numId w:val="0"/>
        </w:numPr>
        <w:spacing w:line="360" w:lineRule="auto"/>
        <w:jc w:val="left"/>
        <w:rPr>
          <w:rFonts w:ascii="宋体" w:hAnsi="宋体" w:cs="宋体"/>
          <w:sz w:val="24"/>
          <w:highlight w:val="none"/>
        </w:rPr>
      </w:pPr>
      <w:r>
        <w:rPr>
          <w:rFonts w:ascii="Wingdings" w:hAnsi="Wingdings" w:eastAsia="Wingdings" w:cs="Wingdings"/>
          <w:sz w:val="24"/>
          <w:highlight w:val="none"/>
        </w:rPr>
        <w:t></w:t>
      </w:r>
      <w:r>
        <w:rPr>
          <w:rFonts w:hint="eastAsia" w:ascii="宋体" w:hAnsi="宋体" w:cs="宋体"/>
          <w:sz w:val="24"/>
          <w:highlight w:val="none"/>
        </w:rPr>
        <w:t>否</w:t>
      </w:r>
    </w:p>
    <w:p w14:paraId="3F1C3EE1">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4</w:t>
      </w:r>
      <w:r>
        <w:rPr>
          <w:rFonts w:hint="eastAsia" w:ascii="宋体" w:hAnsi="宋体" w:cs="宋体"/>
          <w:sz w:val="24"/>
          <w:highlight w:val="none"/>
        </w:rPr>
        <w:t>）政府采购组织形式：</w:t>
      </w:r>
      <w:r>
        <w:rPr>
          <w:rFonts w:ascii="Wingdings" w:hAnsi="Wingdings" w:eastAsia="Wingdings" w:cs="Wingdings"/>
          <w:sz w:val="24"/>
          <w:highlight w:val="none"/>
        </w:rPr>
        <w:t></w:t>
      </w:r>
      <w:r>
        <w:rPr>
          <w:rFonts w:hint="eastAsia" w:ascii="宋体" w:hAnsi="宋体" w:cs="宋体"/>
          <w:sz w:val="24"/>
          <w:highlight w:val="none"/>
        </w:rPr>
        <w:t>政府集中采购</w:t>
      </w:r>
      <w:r>
        <w:rPr>
          <w:rFonts w:ascii="Wingdings" w:hAnsi="Wingdings" w:eastAsia="Wingdings" w:cs="Wingdings"/>
          <w:sz w:val="24"/>
          <w:highlight w:val="none"/>
        </w:rPr>
        <w:t></w:t>
      </w:r>
      <w:r>
        <w:rPr>
          <w:rFonts w:hint="eastAsia" w:ascii="宋体" w:hAnsi="宋体" w:cs="宋体"/>
          <w:sz w:val="24"/>
          <w:highlight w:val="none"/>
        </w:rPr>
        <w:t xml:space="preserve">部门集中采购  </w:t>
      </w:r>
      <w:r>
        <w:rPr>
          <w:rFonts w:ascii="Wingdings" w:hAnsi="Wingdings" w:eastAsia="Wingdings" w:cs="Wingdings"/>
          <w:sz w:val="24"/>
          <w:highlight w:val="none"/>
        </w:rPr>
        <w:t></w:t>
      </w:r>
      <w:r>
        <w:rPr>
          <w:rFonts w:hint="eastAsia" w:ascii="宋体" w:hAnsi="宋体" w:cs="宋体"/>
          <w:sz w:val="24"/>
          <w:highlight w:val="none"/>
        </w:rPr>
        <w:t>分散采购</w:t>
      </w:r>
    </w:p>
    <w:p w14:paraId="6EF95825">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w:t>
      </w:r>
      <w:r>
        <w:rPr>
          <w:rFonts w:hint="eastAsia" w:ascii="宋体" w:hAnsi="宋体" w:cs="宋体"/>
          <w:sz w:val="24"/>
          <w:highlight w:val="none"/>
        </w:rPr>
        <w:t>）政府采购方式：</w:t>
      </w:r>
      <w:r>
        <w:rPr>
          <w:rFonts w:ascii="Wingdings" w:hAnsi="Wingdings" w:eastAsia="Wingdings" w:cs="Wingdings"/>
          <w:sz w:val="24"/>
          <w:highlight w:val="none"/>
        </w:rPr>
        <w:t></w:t>
      </w:r>
      <w:r>
        <w:rPr>
          <w:rFonts w:hint="eastAsia" w:ascii="宋体" w:hAnsi="宋体" w:cs="宋体"/>
          <w:sz w:val="24"/>
          <w:highlight w:val="none"/>
        </w:rPr>
        <w:t>公开招标</w:t>
      </w:r>
      <w:r>
        <w:rPr>
          <w:rFonts w:ascii="Wingdings" w:hAnsi="Wingdings" w:eastAsia="Wingdings" w:cs="Wingdings"/>
          <w:sz w:val="24"/>
          <w:highlight w:val="none"/>
        </w:rPr>
        <w:t></w:t>
      </w:r>
      <w:r>
        <w:rPr>
          <w:rFonts w:hint="eastAsia" w:ascii="宋体" w:hAnsi="宋体" w:cs="宋体"/>
          <w:sz w:val="24"/>
          <w:highlight w:val="none"/>
        </w:rPr>
        <w:t>邀请招标</w:t>
      </w:r>
      <w:r>
        <w:rPr>
          <w:rFonts w:ascii="Wingdings" w:hAnsi="Wingdings" w:eastAsia="Wingdings" w:cs="Wingdings"/>
          <w:sz w:val="24"/>
          <w:highlight w:val="none"/>
        </w:rPr>
        <w:t></w:t>
      </w:r>
      <w:r>
        <w:rPr>
          <w:rFonts w:hint="eastAsia" w:ascii="宋体" w:hAnsi="宋体" w:cs="宋体"/>
          <w:sz w:val="24"/>
          <w:highlight w:val="none"/>
        </w:rPr>
        <w:t>竞争性谈判</w:t>
      </w:r>
      <w:r>
        <w:rPr>
          <w:rFonts w:ascii="Wingdings" w:hAnsi="Wingdings" w:eastAsia="Wingdings" w:cs="Wingdings"/>
          <w:sz w:val="24"/>
          <w:highlight w:val="none"/>
        </w:rPr>
        <w:t></w:t>
      </w:r>
      <w:r>
        <w:rPr>
          <w:rFonts w:hint="eastAsia" w:ascii="宋体" w:hAnsi="宋体" w:cs="宋体"/>
          <w:sz w:val="24"/>
          <w:highlight w:val="none"/>
        </w:rPr>
        <w:t>竞争性磋商</w:t>
      </w:r>
    </w:p>
    <w:p w14:paraId="6BE7949E">
      <w:pPr>
        <w:widowControl/>
        <w:numPr>
          <w:ilvl w:val="255"/>
          <w:numId w:val="0"/>
        </w:numPr>
        <w:spacing w:line="360" w:lineRule="auto"/>
        <w:ind w:firstLine="420"/>
        <w:jc w:val="left"/>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询价</w:t>
      </w:r>
      <w:r>
        <w:rPr>
          <w:rFonts w:ascii="Wingdings" w:hAnsi="Wingdings" w:eastAsia="Wingdings" w:cs="Wingdings"/>
          <w:sz w:val="24"/>
          <w:highlight w:val="none"/>
        </w:rPr>
        <w:t></w:t>
      </w:r>
      <w:r>
        <w:rPr>
          <w:rFonts w:hint="eastAsia" w:ascii="宋体" w:hAnsi="宋体" w:cs="宋体"/>
          <w:sz w:val="24"/>
          <w:highlight w:val="none"/>
        </w:rPr>
        <w:t>单一来源</w:t>
      </w:r>
      <w:r>
        <w:rPr>
          <w:rFonts w:ascii="Wingdings" w:hAnsi="Wingdings" w:eastAsia="Wingdings" w:cs="Wingdings"/>
          <w:sz w:val="24"/>
          <w:highlight w:val="none"/>
        </w:rPr>
        <w:t></w:t>
      </w:r>
      <w:r>
        <w:rPr>
          <w:rFonts w:hint="eastAsia" w:ascii="宋体" w:hAnsi="宋体" w:cs="宋体"/>
          <w:sz w:val="24"/>
          <w:highlight w:val="none"/>
        </w:rPr>
        <w:t>框架协议</w:t>
      </w:r>
      <w:r>
        <w:rPr>
          <w:rFonts w:ascii="Wingdings" w:hAnsi="Wingdings" w:eastAsia="Wingdings" w:cs="Wingdings"/>
          <w:sz w:val="24"/>
          <w:highlight w:val="none"/>
        </w:rPr>
        <w:t></w:t>
      </w:r>
      <w:r>
        <w:rPr>
          <w:rFonts w:hint="eastAsia" w:ascii="宋体" w:hAnsi="宋体" w:cs="宋体"/>
          <w:sz w:val="24"/>
          <w:highlight w:val="none"/>
        </w:rPr>
        <w:t>其他：</w:t>
      </w:r>
    </w:p>
    <w:p w14:paraId="27DA782B">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（注：在框架协议采购的第二阶段，可选择使用该合同文本）</w:t>
      </w:r>
    </w:p>
    <w:p w14:paraId="4AF326BA">
      <w:pPr>
        <w:widowControl/>
        <w:numPr>
          <w:ilvl w:val="255"/>
          <w:numId w:val="0"/>
        </w:numPr>
        <w:spacing w:line="360" w:lineRule="auto"/>
        <w:ind w:firstLine="240"/>
        <w:jc w:val="left"/>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6</w:t>
      </w:r>
      <w:r>
        <w:rPr>
          <w:rFonts w:hint="eastAsia" w:ascii="宋体" w:hAnsi="宋体" w:eastAsia="华文楷体" w:cs="华文楷体"/>
          <w:sz w:val="24"/>
          <w:highlight w:val="none"/>
        </w:rPr>
        <w:t>）</w:t>
      </w:r>
      <w:r>
        <w:rPr>
          <w:rFonts w:hint="eastAsia" w:ascii="宋体" w:hAnsi="宋体"/>
          <w:sz w:val="24"/>
          <w:highlight w:val="none"/>
        </w:rPr>
        <w:t>中标（成交）采购标的制造商是否为中小企业：</w:t>
      </w:r>
      <w:r>
        <w:rPr>
          <w:rFonts w:ascii="Wingdings" w:hAnsi="Wingdings" w:eastAsia="Wingdings" w:cs="Wingdings"/>
          <w:sz w:val="24"/>
          <w:highlight w:val="none"/>
        </w:rPr>
        <w:t></w:t>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p>
    <w:p w14:paraId="00D5C43C">
      <w:pPr>
        <w:numPr>
          <w:ilvl w:val="255"/>
          <w:numId w:val="0"/>
        </w:numPr>
        <w:spacing w:line="360" w:lineRule="auto"/>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3646097B">
      <w:pPr>
        <w:numPr>
          <w:ilvl w:val="255"/>
          <w:numId w:val="0"/>
        </w:numPr>
        <w:spacing w:line="360" w:lineRule="auto"/>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0FA18D3E">
      <w:pPr>
        <w:numPr>
          <w:ilvl w:val="255"/>
          <w:numId w:val="0"/>
        </w:numPr>
        <w:spacing w:line="360" w:lineRule="auto"/>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408C49F7">
      <w:pPr>
        <w:spacing w:line="360" w:lineRule="auto"/>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604C962A">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）合同是否分包：</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65CC8C1C">
      <w:pPr>
        <w:spacing w:line="360" w:lineRule="auto"/>
        <w:ind w:firstLine="960"/>
        <w:rPr>
          <w:rFonts w:ascii="宋体" w:hAnsi="宋体"/>
          <w:sz w:val="24"/>
          <w:highlight w:val="none"/>
          <w:u w:val="single"/>
        </w:rPr>
      </w:pPr>
      <w:r>
        <w:rPr>
          <w:rFonts w:hint="eastAsia" w:ascii="宋体" w:hAnsi="宋体"/>
          <w:sz w:val="24"/>
          <w:highlight w:val="none"/>
        </w:rPr>
        <w:t>分包主要内容：</w:t>
      </w:r>
    </w:p>
    <w:p w14:paraId="61EC5E37">
      <w:pPr>
        <w:spacing w:line="360" w:lineRule="auto"/>
        <w:ind w:firstLine="960"/>
        <w:rPr>
          <w:rFonts w:ascii="宋体" w:hAnsi="宋体"/>
          <w:sz w:val="24"/>
          <w:highlight w:val="none"/>
        </w:rPr>
      </w:pPr>
      <w:r>
        <w:rPr>
          <w:rFonts w:hint="eastAsia" w:ascii="宋体" w:hAnsi="宋体"/>
          <w:sz w:val="24"/>
          <w:highlight w:val="none"/>
        </w:rPr>
        <w:t>分包供应商/制造商名称（如供应商和制造商不同，请分别填写）：</w:t>
      </w:r>
    </w:p>
    <w:p w14:paraId="7FD30F2B">
      <w:pPr>
        <w:spacing w:line="360" w:lineRule="auto"/>
        <w:ind w:firstLine="960"/>
        <w:rPr>
          <w:rFonts w:ascii="宋体" w:hAnsi="宋体"/>
          <w:sz w:val="24"/>
          <w:highlight w:val="none"/>
        </w:rPr>
      </w:pPr>
      <w:r>
        <w:rPr>
          <w:rFonts w:hint="eastAsia" w:ascii="宋体" w:hAnsi="宋体"/>
          <w:sz w:val="24"/>
          <w:highlight w:val="none"/>
        </w:rPr>
        <w:t>分包供应商/制造商类型（如果供应商和制造商不同，只填写制造商类型）：</w:t>
      </w:r>
    </w:p>
    <w:p w14:paraId="090B16F7">
      <w:pPr>
        <w:spacing w:line="360" w:lineRule="auto"/>
        <w:ind w:firstLine="960"/>
        <w:rPr>
          <w:rFonts w:ascii="宋体" w:hAnsi="宋体"/>
          <w:iCs/>
          <w:sz w:val="24"/>
          <w:highlight w:val="none"/>
        </w:rPr>
      </w:pPr>
      <w:r>
        <w:rPr>
          <w:rFonts w:ascii="Wingdings" w:hAnsi="Wingdings" w:eastAsia="Wingdings" w:cs="Wingdings"/>
          <w:iCs/>
          <w:sz w:val="24"/>
          <w:highlight w:val="none"/>
        </w:rPr>
        <w:t></w:t>
      </w:r>
      <w:r>
        <w:rPr>
          <w:rFonts w:hint="eastAsia" w:ascii="宋体" w:hAnsi="宋体"/>
          <w:iCs/>
          <w:sz w:val="24"/>
          <w:highlight w:val="none"/>
        </w:rPr>
        <w:t xml:space="preserve">大型企业  </w:t>
      </w:r>
      <w:r>
        <w:rPr>
          <w:rFonts w:ascii="Wingdings" w:hAnsi="Wingdings" w:eastAsia="Wingdings" w:cs="Wingdings"/>
          <w:iCs/>
          <w:sz w:val="24"/>
          <w:highlight w:val="none"/>
        </w:rPr>
        <w:t></w:t>
      </w:r>
      <w:r>
        <w:rPr>
          <w:rFonts w:hint="eastAsia" w:ascii="宋体" w:hAnsi="宋体"/>
          <w:iCs/>
          <w:sz w:val="24"/>
          <w:highlight w:val="none"/>
        </w:rPr>
        <w:t xml:space="preserve">中型企业  </w:t>
      </w:r>
      <w:r>
        <w:rPr>
          <w:rFonts w:ascii="Wingdings" w:hAnsi="Wingdings" w:eastAsia="Wingdings" w:cs="Wingdings"/>
          <w:iCs/>
          <w:sz w:val="24"/>
          <w:highlight w:val="none"/>
        </w:rPr>
        <w:t></w:t>
      </w:r>
      <w:r>
        <w:rPr>
          <w:rFonts w:hint="eastAsia" w:ascii="宋体" w:hAnsi="宋体"/>
          <w:iCs/>
          <w:sz w:val="24"/>
          <w:highlight w:val="none"/>
        </w:rPr>
        <w:t>小微型企业</w:t>
      </w:r>
    </w:p>
    <w:p w14:paraId="467DD514">
      <w:pPr>
        <w:spacing w:line="360" w:lineRule="auto"/>
        <w:ind w:firstLine="960"/>
        <w:rPr>
          <w:rFonts w:eastAsia="华文楷体"/>
          <w:sz w:val="24"/>
          <w:highlight w:val="none"/>
        </w:rPr>
      </w:pPr>
      <w:r>
        <w:rPr>
          <w:rFonts w:ascii="Wingdings" w:hAnsi="Wingdings" w:eastAsia="Wingdings" w:cs="Wingdings"/>
          <w:iCs/>
          <w:sz w:val="24"/>
          <w:highlight w:val="none"/>
        </w:rPr>
        <w:t></w:t>
      </w:r>
      <w:r>
        <w:rPr>
          <w:rFonts w:hint="eastAsia" w:ascii="宋体" w:hAnsi="宋体"/>
          <w:iCs/>
          <w:sz w:val="24"/>
          <w:highlight w:val="none"/>
        </w:rPr>
        <w:t>残疾人福利性单位</w:t>
      </w:r>
      <w:r>
        <w:rPr>
          <w:rFonts w:ascii="Wingdings" w:hAnsi="Wingdings" w:eastAsia="Wingdings" w:cs="Wingdings"/>
          <w:iCs/>
          <w:sz w:val="24"/>
          <w:highlight w:val="none"/>
        </w:rPr>
        <w:t></w:t>
      </w:r>
      <w:r>
        <w:rPr>
          <w:rFonts w:hint="eastAsia" w:ascii="宋体" w:hAnsi="宋体"/>
          <w:iCs/>
          <w:sz w:val="24"/>
          <w:highlight w:val="none"/>
        </w:rPr>
        <w:t>监狱企业</w:t>
      </w:r>
      <w:r>
        <w:rPr>
          <w:rFonts w:ascii="Wingdings" w:hAnsi="Wingdings" w:eastAsia="Wingdings" w:cs="Wingdings"/>
          <w:iCs/>
          <w:sz w:val="24"/>
          <w:highlight w:val="none"/>
        </w:rPr>
        <w:t></w:t>
      </w:r>
      <w:r>
        <w:rPr>
          <w:rFonts w:hint="eastAsia" w:ascii="宋体" w:hAnsi="宋体"/>
          <w:iCs/>
          <w:sz w:val="24"/>
          <w:highlight w:val="none"/>
        </w:rPr>
        <w:t>其他</w:t>
      </w:r>
    </w:p>
    <w:p w14:paraId="3A9F7147">
      <w:pPr>
        <w:numPr>
          <w:ilvl w:val="255"/>
          <w:numId w:val="0"/>
        </w:numPr>
        <w:spacing w:line="360" w:lineRule="auto"/>
        <w:ind w:firstLine="480"/>
        <w:rPr>
          <w:rFonts w:ascii="宋体" w:hAnsi="宋体" w:cs="宋体"/>
          <w:iCs/>
          <w:sz w:val="24"/>
          <w:highlight w:val="none"/>
        </w:rPr>
      </w:pPr>
      <w:r>
        <w:rPr>
          <w:rFonts w:hint="eastAsia" w:ascii="宋体" w:hAnsi="宋体" w:cs="宋体"/>
          <w:sz w:val="24"/>
          <w:highlight w:val="none"/>
        </w:rPr>
        <w:t>（</w:t>
      </w:r>
      <w:r>
        <w:rPr>
          <w:rFonts w:ascii="宋体" w:hAnsi="宋体" w:cs="宋体"/>
          <w:sz w:val="24"/>
          <w:highlight w:val="none"/>
        </w:rPr>
        <w:t>8</w:t>
      </w:r>
      <w:r>
        <w:rPr>
          <w:rFonts w:hint="eastAsia" w:ascii="宋体" w:hAnsi="宋体" w:cs="宋体"/>
          <w:sz w:val="24"/>
          <w:highlight w:val="none"/>
        </w:rPr>
        <w:t>）中标（成交）供应商是否为外商投资企业：</w:t>
      </w:r>
      <w:r>
        <w:rPr>
          <w:rFonts w:ascii="Wingdings" w:hAnsi="Wingdings" w:eastAsia="Wingdings" w:cs="Wingdings"/>
          <w:iCs/>
          <w:sz w:val="24"/>
          <w:highlight w:val="none"/>
        </w:rPr>
        <w:t></w:t>
      </w:r>
      <w:r>
        <w:rPr>
          <w:rFonts w:hint="eastAsia" w:ascii="宋体" w:hAnsi="宋体" w:cs="宋体"/>
          <w:iCs/>
          <w:sz w:val="24"/>
          <w:highlight w:val="none"/>
        </w:rPr>
        <w:t xml:space="preserve">是       </w:t>
      </w:r>
      <w:r>
        <w:rPr>
          <w:rFonts w:ascii="Wingdings" w:hAnsi="Wingdings" w:eastAsia="Wingdings" w:cs="Wingdings"/>
          <w:iCs/>
          <w:sz w:val="24"/>
          <w:highlight w:val="none"/>
        </w:rPr>
        <w:t></w:t>
      </w:r>
      <w:r>
        <w:rPr>
          <w:rFonts w:hint="eastAsia" w:ascii="宋体" w:hAnsi="宋体" w:cs="宋体"/>
          <w:iCs/>
          <w:sz w:val="24"/>
          <w:highlight w:val="none"/>
        </w:rPr>
        <w:t>否</w:t>
      </w:r>
    </w:p>
    <w:p w14:paraId="14D6E5CD">
      <w:pPr>
        <w:widowControl/>
        <w:tabs>
          <w:tab w:val="left" w:pos="1340"/>
        </w:tabs>
        <w:spacing w:line="360" w:lineRule="auto"/>
        <w:ind w:firstLine="480"/>
        <w:jc w:val="left"/>
        <w:rPr>
          <w:rFonts w:ascii="宋体" w:hAnsi="宋体" w:cs="宋体"/>
          <w:sz w:val="24"/>
          <w:highlight w:val="none"/>
          <w:u w:val="single"/>
        </w:rPr>
      </w:pPr>
      <w:r>
        <w:rPr>
          <w:rFonts w:hint="eastAsia" w:ascii="宋体" w:hAnsi="宋体" w:cs="宋体"/>
          <w:sz w:val="24"/>
          <w:highlight w:val="none"/>
        </w:rPr>
        <w:t xml:space="preserve">     外商投资企业类型：</w:t>
      </w:r>
      <w:r>
        <w:rPr>
          <w:rFonts w:ascii="Wingdings" w:hAnsi="Wingdings" w:eastAsia="Wingdings" w:cs="Wingdings"/>
          <w:iCs/>
          <w:sz w:val="24"/>
          <w:highlight w:val="none"/>
        </w:rPr>
        <w:t></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w:t>
      </w:r>
      <w:r>
        <w:rPr>
          <w:rFonts w:hint="eastAsia" w:ascii="宋体" w:hAnsi="宋体" w:cs="宋体"/>
          <w:iCs/>
          <w:sz w:val="24"/>
          <w:highlight w:val="none"/>
        </w:rPr>
        <w:t>部分由外国投资者投资</w:t>
      </w:r>
    </w:p>
    <w:p w14:paraId="0DB072C9">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9</w:t>
      </w:r>
      <w:r>
        <w:rPr>
          <w:rFonts w:hint="eastAsia" w:ascii="宋体" w:hAnsi="宋体" w:cs="宋体"/>
          <w:sz w:val="24"/>
          <w:highlight w:val="none"/>
        </w:rPr>
        <w:t>）是否涉及进口产品：</w:t>
      </w:r>
    </w:p>
    <w:p w14:paraId="1600FC89">
      <w:pPr>
        <w:numPr>
          <w:ilvl w:val="255"/>
          <w:numId w:val="0"/>
        </w:numPr>
        <w:spacing w:line="360" w:lineRule="auto"/>
        <w:ind w:firstLine="960"/>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是，《政府采购品目分类目录》底级品目名称：金额：</w:t>
      </w:r>
    </w:p>
    <w:p w14:paraId="4E6993B2">
      <w:pPr>
        <w:numPr>
          <w:ilvl w:val="255"/>
          <w:numId w:val="0"/>
        </w:numPr>
        <w:spacing w:line="360" w:lineRule="auto"/>
        <w:ind w:firstLine="960"/>
        <w:rPr>
          <w:rFonts w:ascii="宋体" w:hAnsi="宋体"/>
          <w:sz w:val="24"/>
          <w:highlight w:val="none"/>
        </w:rPr>
      </w:pPr>
      <w:r>
        <w:rPr>
          <w:rFonts w:hint="eastAsia" w:ascii="宋体" w:hAnsi="宋体" w:cs="宋体"/>
          <w:sz w:val="24"/>
          <w:highlight w:val="none"/>
        </w:rPr>
        <w:t xml:space="preserve">        国别：品牌： 规格型号：</w:t>
      </w:r>
    </w:p>
    <w:p w14:paraId="3CEC5FFE">
      <w:pPr>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4A1CC7CC">
      <w:pPr>
        <w:numPr>
          <w:ilvl w:val="255"/>
          <w:numId w:val="0"/>
        </w:numPr>
        <w:tabs>
          <w:tab w:val="left" w:pos="740"/>
        </w:tabs>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0</w:t>
      </w:r>
      <w:r>
        <w:rPr>
          <w:rFonts w:hint="eastAsia" w:ascii="宋体" w:hAnsi="宋体"/>
          <w:sz w:val="24"/>
          <w:highlight w:val="none"/>
        </w:rPr>
        <w:t>）是否涉及节能产品：</w:t>
      </w:r>
    </w:p>
    <w:p w14:paraId="600F2D93">
      <w:pPr>
        <w:numPr>
          <w:ilvl w:val="255"/>
          <w:numId w:val="0"/>
        </w:numPr>
        <w:tabs>
          <w:tab w:val="left" w:pos="740"/>
        </w:tabs>
        <w:spacing w:line="360" w:lineRule="auto"/>
        <w:ind w:firstLine="960"/>
        <w:rPr>
          <w:rFonts w:ascii="宋体" w:hAnsi="宋体"/>
          <w:iCs/>
          <w:sz w:val="24"/>
          <w:highlight w:val="none"/>
        </w:rPr>
      </w:pPr>
      <w:r>
        <w:rPr>
          <w:rFonts w:ascii="Wingdings" w:hAnsi="Wingdings" w:eastAsia="Wingdings" w:cs="Wingdings"/>
          <w:sz w:val="24"/>
          <w:highlight w:val="none"/>
        </w:rPr>
        <w:t></w:t>
      </w:r>
      <w:r>
        <w:rPr>
          <w:rFonts w:hint="eastAsia" w:ascii="宋体" w:hAnsi="宋体"/>
          <w:sz w:val="24"/>
          <w:highlight w:val="none"/>
        </w:rPr>
        <w:t>是，《节能产品政府采购品目清单》的底级品目名称：</w:t>
      </w:r>
    </w:p>
    <w:p w14:paraId="77CAB911">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542FEBA8">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4C6C4080">
      <w:pPr>
        <w:numPr>
          <w:ilvl w:val="255"/>
          <w:numId w:val="0"/>
        </w:numPr>
        <w:tabs>
          <w:tab w:val="left" w:pos="740"/>
        </w:tabs>
        <w:spacing w:line="360" w:lineRule="auto"/>
        <w:ind w:firstLine="960"/>
        <w:rPr>
          <w:rFonts w:ascii="宋体" w:hAnsi="宋体"/>
          <w:sz w:val="24"/>
          <w:highlight w:val="none"/>
        </w:rPr>
      </w:pPr>
      <w:r>
        <w:rPr>
          <w:rFonts w:hint="eastAsia" w:ascii="宋体" w:hAnsi="宋体"/>
          <w:sz w:val="24"/>
          <w:highlight w:val="none"/>
        </w:rPr>
        <w:t>是否涉及环境标志产品：</w:t>
      </w:r>
    </w:p>
    <w:p w14:paraId="132EA56F">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是，《环境标志产品政府采购品目清单》的底级品目名称：</w:t>
      </w:r>
    </w:p>
    <w:p w14:paraId="2F04BDF5">
      <w:pPr>
        <w:numPr>
          <w:ilvl w:val="255"/>
          <w:numId w:val="0"/>
        </w:numPr>
        <w:tabs>
          <w:tab w:val="left" w:pos="740"/>
        </w:tabs>
        <w:spacing w:line="360" w:lineRule="auto"/>
        <w:ind w:firstLine="84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70423B2B">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074A4426">
      <w:pPr>
        <w:widowControl/>
        <w:numPr>
          <w:ilvl w:val="255"/>
          <w:numId w:val="0"/>
        </w:numPr>
        <w:spacing w:line="360" w:lineRule="auto"/>
        <w:ind w:firstLine="840"/>
        <w:jc w:val="left"/>
        <w:rPr>
          <w:rFonts w:ascii="宋体" w:hAnsi="宋体"/>
          <w:sz w:val="24"/>
          <w:highlight w:val="none"/>
        </w:rPr>
      </w:pPr>
      <w:r>
        <w:rPr>
          <w:rFonts w:hint="eastAsia" w:ascii="宋体" w:hAnsi="宋体"/>
          <w:sz w:val="24"/>
          <w:highlight w:val="none"/>
        </w:rPr>
        <w:t>是否涉及绿色产品：</w:t>
      </w:r>
    </w:p>
    <w:p w14:paraId="0DFB6E4E">
      <w:pPr>
        <w:widowControl/>
        <w:spacing w:line="360" w:lineRule="auto"/>
        <w:ind w:firstLine="900"/>
        <w:jc w:val="left"/>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是，绿色产品政府采购相关政策确定的底级品目名称：</w:t>
      </w:r>
    </w:p>
    <w:p w14:paraId="1ABCC35B">
      <w:pPr>
        <w:numPr>
          <w:ilvl w:val="255"/>
          <w:numId w:val="0"/>
        </w:numPr>
        <w:tabs>
          <w:tab w:val="left" w:pos="740"/>
        </w:tabs>
        <w:spacing w:line="360" w:lineRule="auto"/>
        <w:ind w:firstLine="84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5A1DF0FC">
      <w:pPr>
        <w:widowControl/>
        <w:spacing w:line="360" w:lineRule="auto"/>
        <w:ind w:firstLine="900"/>
        <w:jc w:val="left"/>
        <w:rPr>
          <w:rFonts w:ascii="宋体" w:hAnsi="宋体" w:eastAsia="华文楷体" w:cs="华文楷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07566E85">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1</w:t>
      </w:r>
      <w:r>
        <w:rPr>
          <w:rFonts w:hint="eastAsia" w:ascii="宋体" w:hAnsi="宋体"/>
          <w:sz w:val="24"/>
          <w:highlight w:val="none"/>
        </w:rPr>
        <w:t>）涉及商品包装和快递包装的，是否参考《商品包装政府采购需求标准（试行）</w:t>
      </w:r>
      <w:r>
        <w:rPr>
          <w:rFonts w:hint="eastAsia" w:ascii="宋体" w:hAnsi="宋体"/>
          <w:sz w:val="24"/>
          <w:highlight w:val="none"/>
          <w:lang w:eastAsia="zh-CN"/>
        </w:rPr>
        <w:t>》《</w:t>
      </w:r>
      <w:r>
        <w:rPr>
          <w:rFonts w:hint="eastAsia" w:ascii="宋体" w:hAnsi="宋体"/>
          <w:sz w:val="24"/>
          <w:highlight w:val="none"/>
        </w:rPr>
        <w:t>快递包装政府采购需求标准（试行）》明确产品及相关快递服务的具体包装要求：</w:t>
      </w:r>
    </w:p>
    <w:p w14:paraId="4D368F2A">
      <w:pPr>
        <w:numPr>
          <w:ilvl w:val="255"/>
          <w:numId w:val="0"/>
        </w:numPr>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r>
        <w:rPr>
          <w:rFonts w:ascii="Wingdings" w:hAnsi="Wingdings" w:eastAsia="Wingdings" w:cs="Wingdings"/>
          <w:sz w:val="24"/>
          <w:highlight w:val="none"/>
        </w:rPr>
        <w:t></w:t>
      </w:r>
      <w:r>
        <w:rPr>
          <w:rFonts w:hint="eastAsia" w:ascii="宋体" w:hAnsi="宋体"/>
          <w:sz w:val="24"/>
          <w:highlight w:val="none"/>
        </w:rPr>
        <w:t>不涉及</w:t>
      </w:r>
    </w:p>
    <w:p w14:paraId="1D8F05A5">
      <w:pPr>
        <w:numPr>
          <w:ilvl w:val="0"/>
          <w:numId w:val="1"/>
        </w:numPr>
        <w:spacing w:line="360" w:lineRule="auto"/>
        <w:ind w:firstLine="482"/>
        <w:rPr>
          <w:rFonts w:ascii="宋体" w:hAnsi="宋体"/>
          <w:b/>
          <w:sz w:val="24"/>
          <w:highlight w:val="none"/>
        </w:rPr>
      </w:pPr>
      <w:r>
        <w:rPr>
          <w:rFonts w:hint="eastAsia" w:ascii="宋体" w:hAnsi="宋体"/>
          <w:b/>
          <w:sz w:val="24"/>
          <w:highlight w:val="none"/>
        </w:rPr>
        <w:t>合同金额</w:t>
      </w:r>
    </w:p>
    <w:p w14:paraId="25FB4BB0">
      <w:pPr>
        <w:spacing w:line="360" w:lineRule="auto"/>
        <w:ind w:firstLine="480"/>
        <w:rPr>
          <w:rFonts w:ascii="宋体" w:hAnsi="宋体"/>
          <w:sz w:val="24"/>
          <w:highlight w:val="none"/>
        </w:rPr>
      </w:pPr>
      <w:r>
        <w:rPr>
          <w:rFonts w:hint="eastAsia" w:ascii="宋体" w:hAnsi="宋体"/>
          <w:sz w:val="24"/>
          <w:highlight w:val="none"/>
        </w:rPr>
        <w:t>（1）合同金额小写：</w:t>
      </w:r>
    </w:p>
    <w:p w14:paraId="1227B0D1">
      <w:pPr>
        <w:spacing w:line="360" w:lineRule="auto"/>
        <w:ind w:firstLine="600"/>
        <w:rPr>
          <w:rFonts w:ascii="宋体" w:hAnsi="宋体"/>
          <w:sz w:val="24"/>
          <w:highlight w:val="none"/>
          <w:u w:val="single"/>
        </w:rPr>
      </w:pPr>
      <w:r>
        <w:rPr>
          <w:rFonts w:hint="eastAsia" w:ascii="宋体" w:hAnsi="宋体"/>
          <w:sz w:val="24"/>
          <w:highlight w:val="none"/>
        </w:rPr>
        <w:t>大写：</w:t>
      </w:r>
    </w:p>
    <w:p w14:paraId="2956E68F">
      <w:pPr>
        <w:spacing w:line="360" w:lineRule="auto"/>
        <w:ind w:firstLine="480"/>
        <w:rPr>
          <w:rFonts w:ascii="宋体" w:hAnsi="宋体"/>
          <w:sz w:val="24"/>
          <w:highlight w:val="none"/>
        </w:rPr>
      </w:pPr>
      <w:r>
        <w:rPr>
          <w:rFonts w:hint="eastAsia" w:ascii="宋体" w:hAnsi="宋体"/>
          <w:sz w:val="24"/>
          <w:highlight w:val="none"/>
        </w:rPr>
        <w:t>分包金额（如有）小写：</w:t>
      </w:r>
    </w:p>
    <w:p w14:paraId="6F7D5CAC">
      <w:pPr>
        <w:spacing w:line="360" w:lineRule="auto"/>
        <w:ind w:firstLine="480"/>
        <w:rPr>
          <w:rFonts w:ascii="宋体" w:hAnsi="宋体"/>
          <w:sz w:val="24"/>
          <w:highlight w:val="none"/>
          <w:u w:val="single"/>
        </w:rPr>
      </w:pPr>
      <w:r>
        <w:rPr>
          <w:rFonts w:hint="eastAsia" w:ascii="宋体" w:hAnsi="宋体"/>
          <w:sz w:val="24"/>
          <w:highlight w:val="none"/>
        </w:rPr>
        <w:t>大写：</w:t>
      </w:r>
    </w:p>
    <w:p w14:paraId="7F5742DB">
      <w:pPr>
        <w:jc w:val="center"/>
        <w:rPr>
          <w:rFonts w:ascii="宋体" w:hAnsi="宋体"/>
          <w:sz w:val="24"/>
          <w:highlight w:val="none"/>
        </w:rPr>
      </w:pPr>
      <w:r>
        <w:rPr>
          <w:rFonts w:hint="eastAsia" w:ascii="宋体" w:hAnsi="宋体"/>
          <w:sz w:val="24"/>
          <w:highlight w:val="none"/>
        </w:rPr>
        <w:t xml:space="preserve"> （2）付款方式（按项目实际勾选填写，具体详见专用条款第二节</w:t>
      </w:r>
    </w:p>
    <w:p w14:paraId="5C31C02A">
      <w:pPr>
        <w:spacing w:line="360" w:lineRule="auto"/>
        <w:rPr>
          <w:rFonts w:ascii="宋体" w:hAnsi="宋体"/>
          <w:sz w:val="24"/>
          <w:highlight w:val="none"/>
        </w:rPr>
      </w:pPr>
      <w:r>
        <w:rPr>
          <w:rFonts w:hint="eastAsia" w:ascii="宋体" w:hAnsi="宋体"/>
          <w:sz w:val="24"/>
          <w:highlight w:val="none"/>
        </w:rPr>
        <w:t>第12.2款）：</w:t>
      </w:r>
    </w:p>
    <w:p w14:paraId="1835E847">
      <w:pPr>
        <w:adjustRightInd w:val="0"/>
        <w:snapToGrid w:val="0"/>
        <w:spacing w:line="400" w:lineRule="exact"/>
        <w:ind w:firstLine="630" w:firstLineChars="300"/>
        <w:rPr>
          <w:rFonts w:ascii="宋体" w:hAnsi="宋体"/>
          <w:szCs w:val="21"/>
          <w:highlight w:val="none"/>
          <w:u w:val="single"/>
        </w:rPr>
      </w:pPr>
      <w:r>
        <w:rPr>
          <w:rFonts w:ascii="宋体" w:hAnsi="宋体"/>
          <w:szCs w:val="21"/>
          <w:highlight w:val="none"/>
        </w:rPr>
        <w:sym w:font="Wingdings" w:char="F0A8"/>
      </w:r>
      <w:r>
        <w:rPr>
          <w:rFonts w:hint="eastAsia" w:ascii="宋体" w:hAnsi="宋体"/>
          <w:szCs w:val="21"/>
          <w:highlight w:val="none"/>
        </w:rPr>
        <w:t>全额付款：</w:t>
      </w:r>
      <w:r>
        <w:rPr>
          <w:rFonts w:hint="eastAsia" w:ascii="宋体" w:hAnsi="宋体"/>
          <w:szCs w:val="21"/>
          <w:highlight w:val="none"/>
          <w:u w:val="single"/>
        </w:rPr>
        <w:t xml:space="preserve">     （应明确一次性支付合同款项的条件）                    </w:t>
      </w:r>
    </w:p>
    <w:p w14:paraId="5D47016F">
      <w:pPr>
        <w:snapToGrid w:val="0"/>
        <w:spacing w:line="400" w:lineRule="exact"/>
        <w:ind w:firstLine="630" w:firstLineChars="300"/>
        <w:rPr>
          <w:rFonts w:hint="eastAsia"/>
          <w:color w:val="auto"/>
          <w:highlight w:val="none"/>
        </w:rPr>
      </w:pPr>
      <w:r>
        <w:rPr>
          <w:rFonts w:ascii="宋体" w:hAnsi="宋体"/>
          <w:color w:val="auto"/>
          <w:szCs w:val="21"/>
          <w:highlight w:val="none"/>
        </w:rPr>
        <w:sym w:font="Wingdings" w:char="00FE"/>
      </w:r>
      <w:r>
        <w:rPr>
          <w:rFonts w:hint="eastAsia" w:ascii="宋体" w:hAnsi="宋体"/>
          <w:color w:val="auto"/>
          <w:szCs w:val="21"/>
          <w:highlight w:val="none"/>
        </w:rPr>
        <w:t>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，其中涉及预付款的：</w:t>
      </w:r>
      <w:r>
        <w:rPr>
          <w:rFonts w:hint="eastAsia" w:ascii="宋体" w:hAnsi="宋体"/>
          <w:color w:val="auto"/>
          <w:szCs w:val="21"/>
          <w:highlight w:val="none"/>
          <w:u w:val="single"/>
        </w:rPr>
        <w:t xml:space="preserve"> （应明确预付款的支付比例和支付条件） </w:t>
      </w:r>
    </w:p>
    <w:p w14:paraId="56F7BDE8">
      <w:pPr>
        <w:adjustRightInd w:val="0"/>
        <w:snapToGrid w:val="0"/>
        <w:spacing w:line="400" w:lineRule="exact"/>
        <w:ind w:firstLine="630" w:firstLineChars="300"/>
        <w:rPr>
          <w:rFonts w:ascii="宋体" w:hAnsi="宋体"/>
          <w:szCs w:val="21"/>
          <w:highlight w:val="none"/>
          <w:u w:val="single"/>
        </w:rPr>
      </w:pPr>
      <w:r>
        <w:rPr>
          <w:rFonts w:ascii="宋体" w:hAnsi="宋体"/>
          <w:szCs w:val="21"/>
          <w:highlight w:val="none"/>
        </w:rPr>
        <w:sym w:font="Wingdings" w:char="F0A8"/>
      </w:r>
      <w:r>
        <w:rPr>
          <w:rFonts w:hint="eastAsia" w:ascii="宋体" w:hAnsi="宋体"/>
          <w:szCs w:val="21"/>
          <w:highlight w:val="none"/>
        </w:rPr>
        <w:t>成本补偿：</w:t>
      </w:r>
      <w:r>
        <w:rPr>
          <w:rFonts w:hint="eastAsia" w:ascii="宋体" w:hAnsi="宋体"/>
          <w:szCs w:val="21"/>
          <w:highlight w:val="none"/>
          <w:u w:val="single"/>
        </w:rPr>
        <w:t xml:space="preserve">      （应明确按照成本补偿方式的支付方式和支付条件）   </w:t>
      </w:r>
    </w:p>
    <w:p w14:paraId="4C56D8DD">
      <w:pPr>
        <w:adjustRightInd w:val="0"/>
        <w:snapToGrid w:val="0"/>
        <w:spacing w:line="400" w:lineRule="exact"/>
        <w:ind w:firstLine="630" w:firstLineChars="300"/>
        <w:rPr>
          <w:rFonts w:hint="eastAsia" w:ascii="宋体" w:hAnsi="宋体"/>
          <w:szCs w:val="21"/>
          <w:highlight w:val="none"/>
        </w:rPr>
      </w:pPr>
      <w:r>
        <w:rPr>
          <w:rFonts w:ascii="宋体" w:hAnsi="宋体"/>
          <w:szCs w:val="21"/>
          <w:highlight w:val="none"/>
        </w:rPr>
        <w:sym w:font="Wingdings" w:char="F0A8"/>
      </w:r>
      <w:r>
        <w:rPr>
          <w:rFonts w:hint="eastAsia" w:ascii="宋体" w:hAnsi="宋体"/>
          <w:szCs w:val="21"/>
          <w:highlight w:val="none"/>
        </w:rPr>
        <w:t>绩效激励：</w:t>
      </w:r>
      <w:r>
        <w:rPr>
          <w:rFonts w:hint="eastAsia" w:ascii="宋体" w:hAnsi="宋体"/>
          <w:szCs w:val="21"/>
          <w:highlight w:val="none"/>
          <w:u w:val="single"/>
        </w:rPr>
        <w:t xml:space="preserve">      （应明确按照绩效激励方式的支付方式和支付条件）   </w:t>
      </w:r>
    </w:p>
    <w:p w14:paraId="1C7D307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p>
    <w:p w14:paraId="7FEE6B08">
      <w:pPr>
        <w:numPr>
          <w:ilvl w:val="0"/>
          <w:numId w:val="1"/>
        </w:numPr>
        <w:spacing w:line="360" w:lineRule="auto"/>
        <w:ind w:firstLine="482"/>
        <w:rPr>
          <w:rFonts w:ascii="宋体" w:hAnsi="宋体"/>
          <w:b/>
          <w:sz w:val="24"/>
          <w:highlight w:val="none"/>
          <w:u w:val="single"/>
        </w:rPr>
      </w:pPr>
      <w:r>
        <w:rPr>
          <w:rFonts w:hint="eastAsia" w:ascii="宋体" w:hAnsi="宋体"/>
          <w:b/>
          <w:sz w:val="24"/>
          <w:highlight w:val="none"/>
        </w:rPr>
        <w:t>合同履行</w:t>
      </w:r>
    </w:p>
    <w:p w14:paraId="6C81EE3A">
      <w:pPr>
        <w:spacing w:line="360" w:lineRule="auto"/>
        <w:ind w:firstLine="480"/>
        <w:rPr>
          <w:rFonts w:ascii="宋体" w:hAnsi="宋体" w:cs="宋体"/>
          <w:sz w:val="24"/>
          <w:highlight w:val="none"/>
        </w:rPr>
      </w:pPr>
      <w:r>
        <w:rPr>
          <w:rFonts w:hint="eastAsia" w:ascii="宋体" w:hAnsi="宋体" w:cs="宋体"/>
          <w:sz w:val="24"/>
          <w:highlight w:val="none"/>
        </w:rPr>
        <w:t>（1）起始日期：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日，完成日期：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4485A647">
      <w:pPr>
        <w:spacing w:line="360" w:lineRule="auto"/>
        <w:ind w:firstLine="480"/>
        <w:rPr>
          <w:rFonts w:ascii="宋体" w:hAnsi="宋体" w:cs="宋体"/>
          <w:sz w:val="24"/>
          <w:highlight w:val="none"/>
          <w:u w:val="single"/>
        </w:rPr>
      </w:pPr>
      <w:r>
        <w:rPr>
          <w:rFonts w:hint="eastAsia" w:ascii="宋体" w:hAnsi="宋体" w:cs="宋体"/>
          <w:sz w:val="24"/>
          <w:highlight w:val="none"/>
        </w:rPr>
        <w:t>（2）履约地点</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540B2F6B">
      <w:pPr>
        <w:spacing w:line="360" w:lineRule="auto"/>
        <w:ind w:firstLine="480"/>
        <w:rPr>
          <w:rFonts w:ascii="宋体" w:hAnsi="宋体" w:cs="宋体"/>
          <w:sz w:val="24"/>
          <w:highlight w:val="none"/>
        </w:rPr>
      </w:pPr>
      <w:r>
        <w:rPr>
          <w:rFonts w:hint="eastAsia" w:ascii="宋体" w:hAnsi="宋体" w:cs="宋体"/>
          <w:bCs/>
          <w:sz w:val="24"/>
          <w:highlight w:val="none"/>
        </w:rPr>
        <w:t>（3）</w:t>
      </w:r>
      <w:r>
        <w:rPr>
          <w:rFonts w:hint="eastAsia" w:ascii="宋体" w:hAnsi="宋体" w:cs="宋体"/>
          <w:sz w:val="24"/>
          <w:highlight w:val="none"/>
        </w:rPr>
        <w:t>履约担保：履约担保：是否收取履约保证金：</w:t>
      </w:r>
      <w:r>
        <w:rPr>
          <w:rFonts w:hint="eastAsia" w:ascii="宋体" w:hAnsi="宋体" w:cs="宋体"/>
          <w:sz w:val="24"/>
          <w:highlight w:val="none"/>
        </w:rPr>
        <w:sym w:font="Wingdings" w:char="00FE"/>
      </w:r>
      <w:r>
        <w:rPr>
          <w:rFonts w:hint="eastAsia" w:ascii="宋体" w:hAnsi="宋体" w:cs="宋体"/>
          <w:sz w:val="24"/>
          <w:highlight w:val="none"/>
        </w:rPr>
        <w:t xml:space="preserve">是    </w:t>
      </w:r>
      <w:r>
        <w:rPr>
          <w:rFonts w:hint="eastAsia" w:ascii="宋体" w:hAnsi="宋体" w:cs="宋体"/>
          <w:sz w:val="24"/>
          <w:highlight w:val="none"/>
        </w:rPr>
        <w:sym w:font="Wingdings" w:char="00A8"/>
      </w:r>
      <w:r>
        <w:rPr>
          <w:rFonts w:hint="eastAsia" w:ascii="宋体" w:hAnsi="宋体" w:cs="宋体"/>
          <w:sz w:val="24"/>
          <w:highlight w:val="none"/>
        </w:rPr>
        <w:t>否</w:t>
      </w:r>
    </w:p>
    <w:p w14:paraId="4571D9F6">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支票、汇票、本票或者金融机构、担保机构出具的保函等非现金形式提交履约保证金</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1FC1B75D">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sz w:val="24"/>
          <w:highlight w:val="none"/>
          <w:u w:val="single"/>
          <w:lang w:val="en-US" w:eastAsia="zh-CN"/>
        </w:rPr>
        <w:t>中标价的8%</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2A624E17">
      <w:pPr>
        <w:spacing w:line="360" w:lineRule="auto"/>
        <w:ind w:firstLine="480"/>
        <w:rPr>
          <w:rFonts w:hint="default" w:ascii="宋体" w:hAnsi="宋体" w:cs="宋体" w:eastAsiaTheme="minorEastAsia"/>
          <w:bCs/>
          <w:sz w:val="24"/>
          <w:highlight w:val="none"/>
          <w:u w:val="single"/>
          <w:lang w:val="en-US" w:eastAsia="zh-CN"/>
        </w:rPr>
      </w:pPr>
      <w:r>
        <w:rPr>
          <w:rFonts w:hint="eastAsia" w:ascii="宋体" w:hAnsi="宋体" w:cs="宋体"/>
          <w:sz w:val="24"/>
          <w:highlight w:val="none"/>
        </w:rPr>
        <w:t xml:space="preserve">     履约担保期限： </w:t>
      </w:r>
      <w:r>
        <w:rPr>
          <w:rFonts w:hint="eastAsia" w:ascii="宋体" w:hAnsi="宋体" w:cs="宋体"/>
          <w:bCs/>
          <w:sz w:val="24"/>
          <w:highlight w:val="none"/>
          <w:u w:val="single"/>
          <w:lang w:val="en-US" w:eastAsia="zh-CN"/>
        </w:rPr>
        <w:t>自合同生效之日起，至所有货物验收合格后30日止</w:t>
      </w:r>
    </w:p>
    <w:p w14:paraId="36E5700D">
      <w:pPr>
        <w:numPr>
          <w:ilvl w:val="0"/>
          <w:numId w:val="3"/>
        </w:num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确需收取履约保证金的，履约保证金的缴纳形式：</w:t>
      </w:r>
    </w:p>
    <w:p w14:paraId="0A37E05E">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C095CF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p>
    <w:p w14:paraId="1C226899">
      <w:pPr>
        <w:pStyle w:val="8"/>
        <w:spacing w:before="120" w:beforeAutospacing="0" w:after="120" w:afterAutospacing="0"/>
        <w:ind w:left="210" w:leftChars="100" w:firstLine="240" w:firstLineChars="100"/>
        <w:jc w:val="both"/>
        <w:rPr>
          <w:rFonts w:ascii="宋体" w:hAnsi="宋体" w:cs="宋体"/>
          <w:highlight w:val="none"/>
        </w:rPr>
      </w:pPr>
      <w:r>
        <w:rPr>
          <w:rFonts w:hint="eastAsia" w:ascii="宋体" w:hAnsi="宋体" w:cs="宋体"/>
          <w:color w:val="auto"/>
          <w:highlight w:val="none"/>
        </w:rPr>
        <w:t>（备注：履约保证金金额不得超过合同金额的10%，采购人应当对AA评级及以上政府采购供应商（需提供信用管理部门备案的第三方信用报告）免收履约保证金或降低履约保证金缴纳比例。）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rPr>
          <w:rFonts w:hint="eastAsia" w:ascii="宋体" w:hAnsi="宋体" w:cs="宋体"/>
          <w:highlight w:val="none"/>
        </w:rPr>
        <w:t xml:space="preserve">                         </w:t>
      </w:r>
    </w:p>
    <w:p w14:paraId="309BE34B">
      <w:pPr>
        <w:spacing w:line="360" w:lineRule="auto"/>
        <w:ind w:firstLine="480"/>
        <w:rPr>
          <w:rFonts w:ascii="宋体" w:hAnsi="宋体" w:cs="宋体"/>
          <w:bCs/>
          <w:sz w:val="24"/>
          <w:highlight w:val="none"/>
        </w:rPr>
      </w:pPr>
      <w:r>
        <w:rPr>
          <w:rFonts w:hint="eastAsia" w:ascii="宋体" w:hAnsi="宋体" w:cs="宋体"/>
          <w:bCs/>
          <w:sz w:val="24"/>
          <w:highlight w:val="none"/>
        </w:rPr>
        <w:t>（5）分期履行要求：</w:t>
      </w:r>
    </w:p>
    <w:p w14:paraId="0B0DB5E4">
      <w:pPr>
        <w:spacing w:line="360" w:lineRule="auto"/>
        <w:ind w:firstLine="480"/>
        <w:rPr>
          <w:rFonts w:ascii="宋体" w:hAnsi="宋体" w:cs="宋体"/>
          <w:sz w:val="24"/>
          <w:highlight w:val="none"/>
          <w:u w:val="single"/>
        </w:rPr>
      </w:pPr>
      <w:r>
        <w:rPr>
          <w:rFonts w:hint="eastAsia" w:ascii="宋体" w:hAnsi="宋体" w:cs="宋体"/>
          <w:bCs/>
          <w:sz w:val="24"/>
          <w:highlight w:val="none"/>
        </w:rPr>
        <w:t>（6）风险处置措施和替代方案：</w:t>
      </w:r>
    </w:p>
    <w:p w14:paraId="219770AA">
      <w:pPr>
        <w:numPr>
          <w:ilvl w:val="0"/>
          <w:numId w:val="1"/>
        </w:numPr>
        <w:spacing w:line="360" w:lineRule="auto"/>
        <w:ind w:firstLine="482"/>
        <w:rPr>
          <w:rFonts w:ascii="宋体" w:hAnsi="宋体"/>
          <w:b/>
          <w:sz w:val="24"/>
          <w:highlight w:val="none"/>
        </w:rPr>
      </w:pPr>
      <w:r>
        <w:rPr>
          <w:rFonts w:hint="eastAsia" w:ascii="宋体" w:hAnsi="宋体"/>
          <w:b/>
          <w:sz w:val="24"/>
          <w:highlight w:val="none"/>
        </w:rPr>
        <w:t>合同验收</w:t>
      </w:r>
    </w:p>
    <w:p w14:paraId="5B23A847">
      <w:pPr>
        <w:numPr>
          <w:ilvl w:val="0"/>
          <w:numId w:val="4"/>
        </w:numPr>
        <w:spacing w:line="360" w:lineRule="auto"/>
        <w:ind w:firstLine="480"/>
        <w:rPr>
          <w:rFonts w:ascii="宋体" w:hAnsi="宋体"/>
          <w:bCs/>
          <w:sz w:val="24"/>
          <w:highlight w:val="none"/>
        </w:rPr>
      </w:pPr>
      <w:r>
        <w:rPr>
          <w:rFonts w:hint="eastAsia" w:ascii="宋体" w:hAnsi="宋体"/>
          <w:bCs/>
          <w:sz w:val="24"/>
          <w:highlight w:val="none"/>
        </w:rPr>
        <w:t>验收组织方式：</w:t>
      </w:r>
      <w:r>
        <w:rPr>
          <w:rFonts w:ascii="Wingdings" w:hAnsi="Wingdings" w:eastAsia="Wingdings" w:cs="Wingdings"/>
          <w:sz w:val="24"/>
          <w:highlight w:val="none"/>
        </w:rPr>
        <w:sym w:font="Wingdings" w:char="00A8"/>
      </w:r>
      <w:r>
        <w:rPr>
          <w:rFonts w:hint="eastAsia" w:ascii="宋体" w:hAnsi="宋体"/>
          <w:bCs/>
          <w:sz w:val="24"/>
          <w:highlight w:val="none"/>
        </w:rPr>
        <w:t xml:space="preserve">自行组织 </w:t>
      </w:r>
      <w:r>
        <w:rPr>
          <w:rFonts w:ascii="Wingdings" w:hAnsi="Wingdings" w:eastAsia="Wingdings" w:cs="Wingdings"/>
          <w:sz w:val="24"/>
          <w:highlight w:val="none"/>
        </w:rPr>
        <w:t></w:t>
      </w:r>
      <w:r>
        <w:rPr>
          <w:rFonts w:hint="eastAsia" w:ascii="宋体" w:hAnsi="宋体"/>
          <w:bCs/>
          <w:sz w:val="24"/>
          <w:highlight w:val="none"/>
        </w:rPr>
        <w:t>委托第三方组织</w:t>
      </w:r>
    </w:p>
    <w:p w14:paraId="1FEC0952">
      <w:pPr>
        <w:spacing w:line="360" w:lineRule="auto"/>
        <w:ind w:firstLine="960" w:firstLineChars="400"/>
        <w:rPr>
          <w:rFonts w:ascii="宋体" w:hAnsi="宋体" w:cs="宋体"/>
          <w:sz w:val="24"/>
          <w:highlight w:val="none"/>
        </w:rPr>
      </w:pPr>
      <w:r>
        <w:rPr>
          <w:rFonts w:hint="eastAsia" w:ascii="宋体" w:hAnsi="宋体"/>
          <w:bCs/>
          <w:sz w:val="24"/>
          <w:highlight w:val="none"/>
        </w:rPr>
        <w:t>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p>
    <w:p w14:paraId="1C183F0D">
      <w:pPr>
        <w:spacing w:line="360" w:lineRule="auto"/>
        <w:ind w:firstLine="960" w:firstLineChars="400"/>
        <w:rPr>
          <w:rFonts w:ascii="宋体" w:hAnsi="宋体"/>
          <w:bCs/>
          <w:sz w:val="24"/>
          <w:highlight w:val="none"/>
        </w:rPr>
      </w:pPr>
      <w:r>
        <w:rPr>
          <w:rFonts w:hint="eastAsia" w:ascii="宋体" w:hAnsi="宋体"/>
          <w:bCs/>
          <w:sz w:val="24"/>
          <w:highlight w:val="none"/>
        </w:rPr>
        <w:t>是否邀请本项目的其他供应商参加验收：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76E227C3">
      <w:pPr>
        <w:spacing w:line="360" w:lineRule="auto"/>
        <w:ind w:firstLine="960"/>
        <w:rPr>
          <w:rFonts w:ascii="宋体" w:hAnsi="宋体"/>
          <w:bCs/>
          <w:sz w:val="24"/>
          <w:highlight w:val="none"/>
        </w:rPr>
      </w:pPr>
      <w:r>
        <w:rPr>
          <w:rFonts w:hint="eastAsia" w:ascii="宋体" w:hAnsi="宋体"/>
          <w:bCs/>
          <w:sz w:val="24"/>
          <w:highlight w:val="none"/>
        </w:rPr>
        <w:t>是否邀请专家参加验收：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015FC6D8">
      <w:pPr>
        <w:spacing w:line="360" w:lineRule="auto"/>
        <w:ind w:firstLine="960"/>
        <w:rPr>
          <w:rFonts w:ascii="宋体" w:hAnsi="宋体"/>
          <w:bCs/>
          <w:sz w:val="24"/>
          <w:highlight w:val="none"/>
        </w:rPr>
      </w:pPr>
      <w:r>
        <w:rPr>
          <w:rFonts w:hint="eastAsia" w:ascii="宋体" w:hAnsi="宋体"/>
          <w:bCs/>
          <w:sz w:val="24"/>
          <w:highlight w:val="none"/>
        </w:rPr>
        <w:t>是否邀请服务对象参加验收：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53C7C3E5">
      <w:pPr>
        <w:spacing w:line="360" w:lineRule="auto"/>
        <w:ind w:firstLine="960"/>
        <w:rPr>
          <w:rFonts w:ascii="宋体" w:hAnsi="宋体"/>
          <w:bCs/>
          <w:sz w:val="24"/>
          <w:highlight w:val="none"/>
        </w:rPr>
      </w:pPr>
      <w:r>
        <w:rPr>
          <w:rFonts w:hint="eastAsia" w:ascii="宋体" w:hAnsi="宋体"/>
          <w:bCs/>
          <w:sz w:val="24"/>
          <w:highlight w:val="none"/>
        </w:rPr>
        <w:t>是否邀请第三方检测机构参加验收：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49BC2238">
      <w:pPr>
        <w:spacing w:line="360" w:lineRule="auto"/>
        <w:ind w:firstLine="960"/>
        <w:rPr>
          <w:rFonts w:ascii="宋体" w:hAnsi="宋体"/>
          <w:bCs/>
          <w:sz w:val="24"/>
          <w:highlight w:val="none"/>
        </w:rPr>
      </w:pPr>
      <w:r>
        <w:rPr>
          <w:rFonts w:hint="eastAsia" w:ascii="宋体" w:hAnsi="宋体"/>
          <w:bCs/>
          <w:sz w:val="24"/>
          <w:highlight w:val="none"/>
        </w:rPr>
        <w:t>是否进行抽查检测：</w:t>
      </w:r>
      <w:r>
        <w:rPr>
          <w:rFonts w:ascii="Wingdings" w:hAnsi="Wingdings" w:eastAsia="Wingdings" w:cs="Wingdings"/>
          <w:sz w:val="24"/>
          <w:highlight w:val="none"/>
        </w:rPr>
        <w:t></w:t>
      </w:r>
      <w:r>
        <w:rPr>
          <w:rFonts w:hint="eastAsia" w:ascii="宋体" w:hAnsi="宋体"/>
          <w:bCs/>
          <w:sz w:val="24"/>
          <w:highlight w:val="none"/>
        </w:rPr>
        <w:t>是，抽查比例：</w:t>
      </w:r>
      <w:r>
        <w:rPr>
          <w:rFonts w:ascii="Wingdings" w:hAnsi="Wingdings" w:eastAsia="Wingdings" w:cs="Wingdings"/>
          <w:sz w:val="24"/>
          <w:highlight w:val="none"/>
        </w:rPr>
        <w:t></w:t>
      </w:r>
      <w:r>
        <w:rPr>
          <w:rFonts w:hint="eastAsia" w:ascii="宋体" w:hAnsi="宋体"/>
          <w:bCs/>
          <w:sz w:val="24"/>
          <w:highlight w:val="none"/>
        </w:rPr>
        <w:t>否</w:t>
      </w:r>
    </w:p>
    <w:p w14:paraId="07AC2CE2">
      <w:pPr>
        <w:spacing w:line="360" w:lineRule="auto"/>
        <w:ind w:firstLine="960"/>
        <w:rPr>
          <w:rFonts w:ascii="宋体" w:hAnsi="宋体"/>
          <w:bCs/>
          <w:sz w:val="24"/>
          <w:highlight w:val="none"/>
          <w:u w:val="single"/>
        </w:rPr>
      </w:pPr>
      <w:r>
        <w:rPr>
          <w:rFonts w:hint="eastAsia" w:ascii="宋体" w:hAnsi="宋体"/>
          <w:bCs/>
          <w:sz w:val="24"/>
          <w:highlight w:val="none"/>
        </w:rPr>
        <w:t>是否存在破坏性检测：</w:t>
      </w:r>
      <w:r>
        <w:rPr>
          <w:rFonts w:ascii="Wingdings" w:hAnsi="Wingdings" w:eastAsia="Wingdings" w:cs="Wingdings"/>
          <w:sz w:val="24"/>
          <w:highlight w:val="none"/>
        </w:rPr>
        <w:t></w:t>
      </w:r>
      <w:r>
        <w:rPr>
          <w:rFonts w:hint="eastAsia" w:ascii="宋体" w:hAnsi="宋体"/>
          <w:bCs/>
          <w:sz w:val="24"/>
          <w:highlight w:val="none"/>
        </w:rPr>
        <w:t>是，</w:t>
      </w:r>
      <w:r>
        <w:rPr>
          <w:rFonts w:hint="eastAsia" w:ascii="宋体" w:hAnsi="宋体"/>
          <w:bCs/>
          <w:sz w:val="24"/>
          <w:highlight w:val="none"/>
          <w:u w:val="single"/>
        </w:rPr>
        <w:t>（应明确对被破坏的检测产品的处理方式）</w:t>
      </w:r>
    </w:p>
    <w:p w14:paraId="30B32DE9">
      <w:pPr>
        <w:spacing w:line="360" w:lineRule="auto"/>
        <w:ind w:firstLine="960"/>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否</w:t>
      </w:r>
    </w:p>
    <w:p w14:paraId="4F30622C">
      <w:pPr>
        <w:spacing w:line="360" w:lineRule="auto"/>
        <w:ind w:firstLine="960"/>
        <w:rPr>
          <w:rFonts w:ascii="宋体" w:hAnsi="宋体"/>
          <w:bCs/>
          <w:sz w:val="24"/>
          <w:highlight w:val="none"/>
          <w:u w:val="single"/>
        </w:rPr>
      </w:pPr>
      <w:r>
        <w:rPr>
          <w:rFonts w:hint="eastAsia" w:ascii="宋体" w:hAnsi="宋体"/>
          <w:bCs/>
          <w:sz w:val="24"/>
          <w:highlight w:val="none"/>
        </w:rPr>
        <w:t>验收组织的其他事项：</w:t>
      </w:r>
    </w:p>
    <w:p w14:paraId="33D0DAEA">
      <w:pPr>
        <w:spacing w:line="360" w:lineRule="auto"/>
        <w:ind w:firstLine="480"/>
        <w:rPr>
          <w:rFonts w:ascii="宋体" w:hAnsi="宋体"/>
          <w:bCs/>
          <w:sz w:val="24"/>
          <w:highlight w:val="none"/>
          <w:u w:val="single"/>
        </w:rPr>
      </w:pPr>
      <w:r>
        <w:rPr>
          <w:rFonts w:hint="eastAsia" w:ascii="宋体" w:hAnsi="宋体"/>
          <w:bCs/>
          <w:sz w:val="24"/>
          <w:highlight w:val="none"/>
        </w:rPr>
        <w:t>（2）履约验收时间：</w:t>
      </w:r>
      <w:r>
        <w:rPr>
          <w:rFonts w:hint="eastAsia" w:ascii="宋体" w:hAnsi="宋体"/>
          <w:bCs/>
          <w:sz w:val="24"/>
          <w:highlight w:val="none"/>
          <w:u w:val="single"/>
        </w:rPr>
        <w:t>（计划于何时验收/供应商提出验收申请之日起   日内组织验收）</w:t>
      </w:r>
    </w:p>
    <w:p w14:paraId="3B528D12">
      <w:pPr>
        <w:spacing w:line="360" w:lineRule="auto"/>
        <w:ind w:firstLine="480"/>
        <w:rPr>
          <w:rFonts w:ascii="宋体" w:hAnsi="宋体"/>
          <w:bCs/>
          <w:sz w:val="24"/>
          <w:highlight w:val="none"/>
        </w:rPr>
      </w:pPr>
      <w:r>
        <w:rPr>
          <w:rFonts w:hint="eastAsia" w:ascii="宋体" w:hAnsi="宋体"/>
          <w:bCs/>
          <w:sz w:val="24"/>
          <w:highlight w:val="none"/>
        </w:rPr>
        <w:t>（3）履约验收方式：</w:t>
      </w:r>
      <w:r>
        <w:rPr>
          <w:rFonts w:ascii="Wingdings" w:hAnsi="Wingdings" w:eastAsia="Wingdings" w:cs="Wingdings"/>
          <w:sz w:val="24"/>
          <w:highlight w:val="none"/>
        </w:rPr>
        <w:t></w:t>
      </w:r>
      <w:r>
        <w:rPr>
          <w:rFonts w:hint="eastAsia" w:ascii="宋体" w:hAnsi="宋体"/>
          <w:bCs/>
          <w:sz w:val="24"/>
          <w:highlight w:val="none"/>
        </w:rPr>
        <w:t xml:space="preserve">一次性验收         </w:t>
      </w:r>
    </w:p>
    <w:p w14:paraId="54A34AA3">
      <w:pPr>
        <w:spacing w:line="360" w:lineRule="auto"/>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分期/分项验收：</w:t>
      </w:r>
      <w:r>
        <w:rPr>
          <w:rFonts w:hint="eastAsia" w:ascii="宋体" w:hAnsi="宋体"/>
          <w:bCs/>
          <w:sz w:val="24"/>
          <w:highlight w:val="none"/>
          <w:u w:val="single"/>
        </w:rPr>
        <w:t>（应明确分期</w:t>
      </w:r>
      <w:r>
        <w:rPr>
          <w:rFonts w:ascii="宋体" w:hAnsi="宋体"/>
          <w:bCs/>
          <w:sz w:val="24"/>
          <w:highlight w:val="none"/>
          <w:u w:val="single"/>
        </w:rPr>
        <w:t>/</w:t>
      </w:r>
      <w:r>
        <w:rPr>
          <w:rFonts w:hint="eastAsia" w:ascii="宋体" w:hAnsi="宋体"/>
          <w:bCs/>
          <w:sz w:val="24"/>
          <w:highlight w:val="none"/>
          <w:u w:val="single"/>
        </w:rPr>
        <w:t>分项验收的工作安排）</w:t>
      </w:r>
    </w:p>
    <w:p w14:paraId="407DABF1">
      <w:pPr>
        <w:spacing w:line="360" w:lineRule="auto"/>
        <w:ind w:firstLine="480"/>
        <w:rPr>
          <w:rFonts w:ascii="宋体" w:hAnsi="宋体"/>
          <w:bCs/>
          <w:sz w:val="24"/>
          <w:highlight w:val="none"/>
        </w:rPr>
      </w:pPr>
      <w:r>
        <w:rPr>
          <w:rFonts w:hint="eastAsia" w:ascii="宋体" w:hAnsi="宋体"/>
          <w:bCs/>
          <w:sz w:val="24"/>
          <w:highlight w:val="none"/>
        </w:rPr>
        <w:t>（4）履约验收程序：</w:t>
      </w:r>
    </w:p>
    <w:p w14:paraId="314C8204">
      <w:pPr>
        <w:spacing w:line="360" w:lineRule="auto"/>
        <w:ind w:firstLine="480"/>
        <w:rPr>
          <w:rFonts w:ascii="宋体" w:hAnsi="宋体"/>
          <w:bCs/>
          <w:sz w:val="24"/>
          <w:highlight w:val="none"/>
          <w:u w:val="single"/>
        </w:rPr>
      </w:pPr>
      <w:r>
        <w:rPr>
          <w:rFonts w:hint="eastAsia" w:ascii="宋体" w:hAnsi="宋体"/>
          <w:bCs/>
          <w:sz w:val="24"/>
          <w:highlight w:val="none"/>
        </w:rPr>
        <w:t>（5）履约验收的内容：</w:t>
      </w:r>
      <w:r>
        <w:rPr>
          <w:rFonts w:hint="eastAsia" w:ascii="宋体" w:hAnsi="宋体"/>
          <w:bCs/>
          <w:sz w:val="24"/>
          <w:highlight w:val="none"/>
          <w:u w:val="single"/>
        </w:rPr>
        <w:t>（应当包括每一项技术和商务要求的履约情况，特别是落实政府采购扶持中小企业，支持绿色发展和乡村振兴等政策情况）</w:t>
      </w:r>
    </w:p>
    <w:p w14:paraId="2101C2AC">
      <w:pPr>
        <w:spacing w:line="360" w:lineRule="auto"/>
        <w:ind w:firstLine="480"/>
        <w:rPr>
          <w:rFonts w:ascii="宋体" w:hAnsi="宋体"/>
          <w:bCs/>
          <w:sz w:val="24"/>
          <w:highlight w:val="none"/>
          <w:u w:val="single"/>
        </w:rPr>
      </w:pPr>
      <w:r>
        <w:rPr>
          <w:rFonts w:hint="eastAsia" w:ascii="宋体" w:hAnsi="宋体"/>
          <w:bCs/>
          <w:sz w:val="24"/>
          <w:highlight w:val="none"/>
        </w:rPr>
        <w:t>（6）履约验收标准：</w:t>
      </w:r>
    </w:p>
    <w:p w14:paraId="2F0DE255">
      <w:pPr>
        <w:widowControl/>
        <w:spacing w:line="360" w:lineRule="auto"/>
        <w:ind w:firstLine="480"/>
        <w:jc w:val="left"/>
        <w:rPr>
          <w:rFonts w:ascii="宋体" w:hAnsi="宋体" w:cs="宋体"/>
          <w:sz w:val="24"/>
          <w:highlight w:val="none"/>
        </w:rPr>
      </w:pPr>
      <w:r>
        <w:rPr>
          <w:rFonts w:hint="eastAsia" w:ascii="宋体" w:hAnsi="宋体" w:cs="宋体"/>
          <w:bCs/>
          <w:sz w:val="24"/>
          <w:highlight w:val="none"/>
        </w:rPr>
        <w:t>（7）是否以采购活动中供应商提供的样品作为参考：</w:t>
      </w:r>
      <w:r>
        <w:rPr>
          <w:rFonts w:ascii="Wingdings" w:hAnsi="Wingdings" w:eastAsia="Wingdings" w:cs="Wingdings"/>
          <w:sz w:val="24"/>
          <w:highlight w:val="none"/>
        </w:rPr>
        <w:t></w:t>
      </w:r>
      <w:r>
        <w:rPr>
          <w:rFonts w:hint="eastAsia" w:ascii="宋体" w:hAnsi="宋体" w:cs="宋体"/>
          <w:bCs/>
          <w:sz w:val="24"/>
          <w:highlight w:val="none"/>
        </w:rPr>
        <w:t xml:space="preserve">是  </w:t>
      </w:r>
      <w:r>
        <w:rPr>
          <w:rFonts w:ascii="Wingdings" w:hAnsi="Wingdings" w:eastAsia="Wingdings" w:cs="Wingdings"/>
          <w:sz w:val="24"/>
          <w:highlight w:val="none"/>
        </w:rPr>
        <w:t></w:t>
      </w:r>
      <w:r>
        <w:rPr>
          <w:rFonts w:hint="eastAsia" w:ascii="宋体" w:hAnsi="宋体" w:cs="宋体"/>
          <w:bCs/>
          <w:sz w:val="24"/>
          <w:highlight w:val="none"/>
        </w:rPr>
        <w:t>否</w:t>
      </w:r>
    </w:p>
    <w:p w14:paraId="2D0801C2">
      <w:pPr>
        <w:spacing w:line="360" w:lineRule="auto"/>
        <w:ind w:firstLine="480"/>
        <w:rPr>
          <w:rFonts w:ascii="宋体" w:hAnsi="宋体" w:cs="宋体"/>
          <w:bCs/>
          <w:sz w:val="24"/>
          <w:highlight w:val="none"/>
          <w:u w:val="single"/>
        </w:rPr>
      </w:pPr>
      <w:r>
        <w:rPr>
          <w:rFonts w:hint="eastAsia" w:ascii="宋体" w:hAnsi="宋体" w:cs="宋体"/>
          <w:bCs/>
          <w:sz w:val="24"/>
          <w:highlight w:val="none"/>
        </w:rPr>
        <w:t>（8）履约验收其他事项：</w:t>
      </w:r>
      <w:r>
        <w:rPr>
          <w:rFonts w:hint="eastAsia" w:ascii="宋体" w:hAnsi="宋体" w:cs="宋体"/>
          <w:bCs/>
          <w:sz w:val="24"/>
          <w:highlight w:val="none"/>
          <w:u w:val="single"/>
        </w:rPr>
        <w:t>（产权过户登记等）</w:t>
      </w:r>
    </w:p>
    <w:p w14:paraId="1A5E313B">
      <w:pPr>
        <w:numPr>
          <w:ilvl w:val="0"/>
          <w:numId w:val="1"/>
        </w:numPr>
        <w:spacing w:line="360" w:lineRule="auto"/>
        <w:ind w:firstLine="482"/>
        <w:rPr>
          <w:rFonts w:ascii="宋体" w:hAnsi="宋体"/>
          <w:b/>
          <w:sz w:val="24"/>
          <w:highlight w:val="none"/>
        </w:rPr>
      </w:pPr>
      <w:r>
        <w:rPr>
          <w:rFonts w:hint="eastAsia" w:ascii="宋体" w:hAnsi="宋体"/>
          <w:b/>
          <w:sz w:val="24"/>
          <w:highlight w:val="none"/>
        </w:rPr>
        <w:t>组成合同的文件</w:t>
      </w:r>
    </w:p>
    <w:p w14:paraId="0E29E6ED">
      <w:pPr>
        <w:spacing w:line="360" w:lineRule="auto"/>
        <w:ind w:firstLine="48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1198F429">
      <w:pPr>
        <w:spacing w:line="360" w:lineRule="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64FD848A">
      <w:pPr>
        <w:spacing w:line="360" w:lineRule="auto"/>
        <w:rPr>
          <w:rFonts w:hint="eastAsia" w:ascii="宋体" w:hAnsi="宋体"/>
          <w:color w:val="auto"/>
          <w:sz w:val="24"/>
          <w:highlight w:val="none"/>
        </w:rPr>
      </w:pPr>
      <w:r>
        <w:rPr>
          <w:rFonts w:hint="eastAsia" w:ascii="宋体" w:hAnsi="宋体"/>
          <w:color w:val="auto"/>
          <w:sz w:val="24"/>
          <w:highlight w:val="none"/>
        </w:rPr>
        <w:t>（2）政府采购合同专用条款</w:t>
      </w:r>
    </w:p>
    <w:p w14:paraId="114D2529">
      <w:pPr>
        <w:spacing w:line="360" w:lineRule="auto"/>
        <w:rPr>
          <w:rFonts w:hint="eastAsia" w:ascii="宋体" w:hAnsi="宋体"/>
          <w:color w:val="auto"/>
          <w:sz w:val="24"/>
          <w:highlight w:val="none"/>
        </w:rPr>
      </w:pPr>
      <w:r>
        <w:rPr>
          <w:rFonts w:hint="eastAsia" w:ascii="宋体" w:hAnsi="宋体"/>
          <w:color w:val="auto"/>
          <w:sz w:val="24"/>
          <w:highlight w:val="none"/>
        </w:rPr>
        <w:t>（3）政府采购合同通用条款</w:t>
      </w:r>
    </w:p>
    <w:p w14:paraId="2355E685">
      <w:pPr>
        <w:spacing w:line="360" w:lineRule="auto"/>
        <w:rPr>
          <w:rFonts w:hint="eastAsia" w:ascii="宋体" w:hAnsi="宋体"/>
          <w:color w:val="auto"/>
          <w:sz w:val="24"/>
          <w:highlight w:val="none"/>
        </w:rPr>
      </w:pPr>
      <w:r>
        <w:rPr>
          <w:rFonts w:hint="eastAsia" w:ascii="宋体" w:hAnsi="宋体"/>
          <w:color w:val="auto"/>
          <w:sz w:val="24"/>
          <w:highlight w:val="none"/>
        </w:rPr>
        <w:t>（4）中标（成交）通知书</w:t>
      </w:r>
    </w:p>
    <w:p w14:paraId="7D75EA2E">
      <w:pPr>
        <w:spacing w:line="360" w:lineRule="auto"/>
        <w:rPr>
          <w:rFonts w:hint="eastAsia" w:ascii="宋体" w:hAnsi="宋体"/>
          <w:color w:val="auto"/>
          <w:sz w:val="24"/>
          <w:highlight w:val="none"/>
        </w:rPr>
      </w:pPr>
      <w:r>
        <w:rPr>
          <w:rFonts w:hint="eastAsia" w:ascii="宋体" w:hAnsi="宋体"/>
          <w:color w:val="auto"/>
          <w:sz w:val="24"/>
          <w:highlight w:val="none"/>
        </w:rPr>
        <w:t>（5）投标（响应）文件</w:t>
      </w:r>
    </w:p>
    <w:p w14:paraId="0F53048D">
      <w:pPr>
        <w:spacing w:line="360" w:lineRule="auto"/>
        <w:rPr>
          <w:rFonts w:hint="eastAsia" w:ascii="宋体" w:hAnsi="宋体"/>
          <w:color w:val="auto"/>
          <w:sz w:val="24"/>
          <w:highlight w:val="none"/>
        </w:rPr>
      </w:pPr>
      <w:r>
        <w:rPr>
          <w:rFonts w:hint="eastAsia" w:ascii="宋体" w:hAnsi="宋体"/>
          <w:color w:val="auto"/>
          <w:sz w:val="24"/>
          <w:highlight w:val="none"/>
        </w:rPr>
        <w:t>（6）采购文件</w:t>
      </w:r>
    </w:p>
    <w:p w14:paraId="39862F70">
      <w:pPr>
        <w:spacing w:line="360" w:lineRule="auto"/>
        <w:rPr>
          <w:rFonts w:hint="eastAsia" w:ascii="宋体" w:hAnsi="宋体"/>
          <w:color w:val="auto"/>
          <w:sz w:val="24"/>
          <w:highlight w:val="none"/>
        </w:rPr>
      </w:pPr>
      <w:r>
        <w:rPr>
          <w:rFonts w:hint="eastAsia" w:ascii="宋体" w:hAnsi="宋体"/>
          <w:color w:val="auto"/>
          <w:sz w:val="24"/>
          <w:highlight w:val="none"/>
        </w:rPr>
        <w:t>（7）有关技术文件，图纸</w:t>
      </w:r>
    </w:p>
    <w:p w14:paraId="0CD1A21B">
      <w:pPr>
        <w:spacing w:line="360" w:lineRule="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2DF33D2B">
      <w:pPr>
        <w:adjustRightInd w:val="0"/>
        <w:snapToGrid w:val="0"/>
        <w:spacing w:line="400" w:lineRule="exact"/>
        <w:ind w:left="422"/>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30AD3088">
      <w:pPr>
        <w:spacing w:line="360" w:lineRule="auto"/>
        <w:ind w:firstLine="48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5D1D07BA">
      <w:pPr>
        <w:spacing w:line="360" w:lineRule="auto"/>
        <w:ind w:left="482"/>
        <w:rPr>
          <w:rFonts w:ascii="宋体" w:hAnsi="宋体"/>
          <w:b/>
          <w:color w:val="auto"/>
          <w:sz w:val="24"/>
          <w:highlight w:val="none"/>
        </w:rPr>
      </w:pPr>
      <w:r>
        <w:rPr>
          <w:rFonts w:hint="eastAsia" w:ascii="宋体" w:hAnsi="宋体"/>
          <w:b/>
          <w:color w:val="auto"/>
          <w:sz w:val="24"/>
          <w:highlight w:val="none"/>
        </w:rPr>
        <w:t>7.合同份数</w:t>
      </w:r>
    </w:p>
    <w:p w14:paraId="0C0A08B3">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D6D8C26">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B830FA6">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58BA7FD8">
      <w:pPr>
        <w:adjustRightInd w:val="0"/>
        <w:snapToGrid w:val="0"/>
        <w:spacing w:line="400" w:lineRule="exact"/>
        <w:ind w:firstLine="420" w:firstLineChars="200"/>
        <w:rPr>
          <w:color w:val="auto"/>
          <w:highlight w:val="none"/>
        </w:rPr>
      </w:pPr>
      <w:r>
        <w:rPr>
          <w:rFonts w:hint="eastAsia" w:ascii="宋体" w:hAnsi="宋体"/>
          <w:color w:val="auto"/>
          <w:szCs w:val="21"/>
          <w:highlight w:val="none"/>
        </w:rPr>
        <w:t>附件：具体标的及其技术要求和商务要求、联合协议、分包意向协议等。</w:t>
      </w:r>
    </w:p>
    <w:p w14:paraId="14117135">
      <w:pPr>
        <w:spacing w:line="360" w:lineRule="auto"/>
        <w:ind w:firstLine="480"/>
        <w:rPr>
          <w:rFonts w:ascii="宋体" w:hAnsi="宋体"/>
          <w:color w:val="auto"/>
          <w:sz w:val="24"/>
          <w:highlight w:val="none"/>
        </w:rPr>
      </w:pPr>
    </w:p>
    <w:p w14:paraId="71BA545A">
      <w:pPr>
        <w:spacing w:line="360" w:lineRule="auto"/>
        <w:rPr>
          <w:rFonts w:ascii="宋体" w:hAnsi="宋体"/>
          <w:color w:val="auto"/>
          <w:sz w:val="24"/>
          <w:highlight w:val="none"/>
        </w:rPr>
      </w:pPr>
    </w:p>
    <w:p w14:paraId="1621D9D2">
      <w:pPr>
        <w:spacing w:line="360" w:lineRule="auto"/>
        <w:ind w:firstLine="480"/>
        <w:jc w:val="left"/>
        <w:rPr>
          <w:rFonts w:ascii="宋体" w:hAnsi="宋体"/>
          <w:color w:val="auto"/>
          <w:sz w:val="24"/>
          <w:highlight w:val="none"/>
          <w:u w:val="single"/>
        </w:rPr>
      </w:pPr>
      <w:r>
        <w:rPr>
          <w:rFonts w:hint="eastAsia"/>
          <w:color w:val="auto"/>
          <w:sz w:val="24"/>
          <w:highlight w:val="none"/>
        </w:rPr>
        <w:br w:type="page" w:clear="all"/>
      </w:r>
    </w:p>
    <w:p w14:paraId="10524628">
      <w:pPr>
        <w:spacing w:line="360" w:lineRule="auto"/>
        <w:ind w:firstLine="420"/>
        <w:rPr>
          <w:szCs w:val="21"/>
          <w:highlight w:val="none"/>
        </w:rPr>
      </w:pPr>
    </w:p>
    <w:tbl>
      <w:tblPr>
        <w:tblStyle w:val="9"/>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739C36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tcBorders>
              <w:bottom w:val="single" w:color="000000" w:sz="2" w:space="0"/>
              <w:right w:val="single" w:color="000000" w:sz="2" w:space="0"/>
            </w:tcBorders>
            <w:vAlign w:val="center"/>
          </w:tcPr>
          <w:p w14:paraId="1AFF2E02">
            <w:pPr>
              <w:spacing w:line="360" w:lineRule="auto"/>
              <w:jc w:val="center"/>
              <w:rPr>
                <w:sz w:val="24"/>
                <w:highlight w:val="none"/>
              </w:rPr>
            </w:pPr>
            <w:r>
              <w:rPr>
                <w:sz w:val="24"/>
                <w:highlight w:val="none"/>
              </w:rPr>
              <w:t>甲方</w:t>
            </w:r>
            <w:r>
              <w:rPr>
                <w:rFonts w:hint="eastAsia"/>
                <w:sz w:val="24"/>
                <w:highlight w:val="none"/>
              </w:rPr>
              <w:t>（采购人</w:t>
            </w:r>
            <w:r>
              <w:rPr>
                <w:rFonts w:hint="eastAsia" w:ascii="宋体" w:hAnsi="宋体"/>
                <w:sz w:val="24"/>
                <w:highlight w:val="none"/>
              </w:rPr>
              <w:t>、受采购人委托签订合同的单位或</w:t>
            </w:r>
            <w:r>
              <w:rPr>
                <w:rFonts w:hint="eastAsia"/>
                <w:sz w:val="24"/>
                <w:highlight w:val="none"/>
              </w:rPr>
              <w:t>采购文件约定的合同甲方）</w:t>
            </w:r>
          </w:p>
        </w:tc>
        <w:tc>
          <w:tcPr>
            <w:tcW w:w="4789" w:type="dxa"/>
            <w:gridSpan w:val="2"/>
            <w:tcBorders>
              <w:left w:val="single" w:color="000000" w:sz="2" w:space="0"/>
              <w:bottom w:val="single" w:color="000000" w:sz="2" w:space="0"/>
            </w:tcBorders>
            <w:vAlign w:val="center"/>
          </w:tcPr>
          <w:p w14:paraId="4FE619CB">
            <w:pPr>
              <w:spacing w:line="360" w:lineRule="auto"/>
              <w:jc w:val="center"/>
              <w:rPr>
                <w:sz w:val="24"/>
                <w:highlight w:val="none"/>
              </w:rPr>
            </w:pPr>
            <w:r>
              <w:rPr>
                <w:sz w:val="24"/>
                <w:highlight w:val="none"/>
              </w:rPr>
              <w:t>乙方</w:t>
            </w:r>
            <w:r>
              <w:rPr>
                <w:rFonts w:hint="eastAsia"/>
                <w:sz w:val="24"/>
                <w:highlight w:val="none"/>
              </w:rPr>
              <w:t>（供应商）</w:t>
            </w:r>
          </w:p>
        </w:tc>
      </w:tr>
      <w:tr w14:paraId="3C081C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vAlign w:val="center"/>
          </w:tcPr>
          <w:p w14:paraId="3FF33781">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820" w:type="dxa"/>
            <w:tcBorders>
              <w:top w:val="single" w:color="000000" w:sz="2" w:space="0"/>
              <w:left w:val="single" w:color="000000" w:sz="2" w:space="0"/>
              <w:bottom w:val="single" w:color="000000" w:sz="2" w:space="0"/>
              <w:right w:val="single" w:color="000000" w:sz="2" w:space="0"/>
            </w:tcBorders>
            <w:vAlign w:val="center"/>
          </w:tcPr>
          <w:p w14:paraId="502111B8">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B1B83E2">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475" w:type="dxa"/>
            <w:tcBorders>
              <w:top w:val="single" w:color="000000" w:sz="2" w:space="0"/>
              <w:left w:val="single" w:color="000000" w:sz="2" w:space="0"/>
              <w:bottom w:val="single" w:color="000000" w:sz="2" w:space="0"/>
            </w:tcBorders>
            <w:vAlign w:val="center"/>
          </w:tcPr>
          <w:p w14:paraId="6214B514">
            <w:pPr>
              <w:spacing w:line="360" w:lineRule="auto"/>
              <w:jc w:val="center"/>
              <w:rPr>
                <w:spacing w:val="20"/>
                <w:sz w:val="24"/>
                <w:highlight w:val="none"/>
              </w:rPr>
            </w:pPr>
          </w:p>
        </w:tc>
      </w:tr>
      <w:tr w14:paraId="25161A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cantSplit/>
          <w:trHeight w:val="1171" w:hRule="atLeast"/>
        </w:trPr>
        <w:tc>
          <w:tcPr>
            <w:tcW w:w="2211" w:type="dxa"/>
            <w:vMerge w:val="restart"/>
            <w:tcBorders>
              <w:top w:val="single" w:color="000000" w:sz="2" w:space="0"/>
              <w:right w:val="single" w:color="000000" w:sz="2" w:space="0"/>
            </w:tcBorders>
            <w:vAlign w:val="center"/>
          </w:tcPr>
          <w:p w14:paraId="2AC46522">
            <w:pPr>
              <w:spacing w:line="360" w:lineRule="auto"/>
              <w:jc w:val="center"/>
              <w:rPr>
                <w:sz w:val="24"/>
                <w:highlight w:val="none"/>
              </w:rPr>
            </w:pPr>
            <w:r>
              <w:rPr>
                <w:sz w:val="24"/>
                <w:highlight w:val="none"/>
              </w:rPr>
              <w:t>法定代表人</w:t>
            </w:r>
          </w:p>
          <w:p w14:paraId="6DA34215">
            <w:pPr>
              <w:spacing w:line="360" w:lineRule="auto"/>
              <w:ind w:firstLine="115"/>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820" w:type="dxa"/>
            <w:vMerge w:val="restart"/>
            <w:tcBorders>
              <w:top w:val="single" w:color="000000" w:sz="2" w:space="0"/>
              <w:left w:val="single" w:color="000000" w:sz="2" w:space="0"/>
              <w:right w:val="single" w:color="000000" w:sz="2" w:space="0"/>
            </w:tcBorders>
            <w:vAlign w:val="center"/>
          </w:tcPr>
          <w:p w14:paraId="207308C6">
            <w:pPr>
              <w:spacing w:line="360" w:lineRule="auto"/>
              <w:jc w:val="center"/>
              <w:rPr>
                <w:sz w:val="24"/>
                <w:highlight w:val="none"/>
              </w:rPr>
            </w:pPr>
          </w:p>
        </w:tc>
        <w:tc>
          <w:tcPr>
            <w:tcW w:w="2314" w:type="dxa"/>
            <w:tcBorders>
              <w:top w:val="single" w:color="000000" w:sz="2" w:space="0"/>
              <w:left w:val="single" w:color="000000" w:sz="2" w:space="0"/>
              <w:right w:val="single" w:color="000000" w:sz="2" w:space="0"/>
            </w:tcBorders>
            <w:vAlign w:val="center"/>
          </w:tcPr>
          <w:p w14:paraId="1B6BF0CD">
            <w:pPr>
              <w:spacing w:line="360" w:lineRule="auto"/>
              <w:jc w:val="center"/>
              <w:rPr>
                <w:sz w:val="24"/>
                <w:highlight w:val="none"/>
              </w:rPr>
            </w:pPr>
            <w:r>
              <w:rPr>
                <w:sz w:val="24"/>
                <w:highlight w:val="none"/>
              </w:rPr>
              <w:t>法定代表人</w:t>
            </w:r>
          </w:p>
          <w:p w14:paraId="4EB28212">
            <w:pPr>
              <w:spacing w:line="360" w:lineRule="auto"/>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475" w:type="dxa"/>
            <w:tcBorders>
              <w:top w:val="single" w:color="000000" w:sz="2" w:space="0"/>
              <w:left w:val="single" w:color="000000" w:sz="2" w:space="0"/>
              <w:bottom w:val="single" w:color="000000" w:sz="2" w:space="0"/>
            </w:tcBorders>
            <w:vAlign w:val="center"/>
          </w:tcPr>
          <w:p w14:paraId="1BFC448B">
            <w:pPr>
              <w:spacing w:line="360" w:lineRule="auto"/>
              <w:jc w:val="center"/>
              <w:rPr>
                <w:sz w:val="24"/>
                <w:highlight w:val="none"/>
              </w:rPr>
            </w:pPr>
          </w:p>
        </w:tc>
      </w:tr>
      <w:tr w14:paraId="7870D47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vAlign w:val="center"/>
          </w:tcPr>
          <w:p w14:paraId="51A958E6">
            <w:pPr>
              <w:spacing w:line="360" w:lineRule="auto"/>
              <w:jc w:val="center"/>
              <w:rPr>
                <w:sz w:val="24"/>
                <w:highlight w:val="none"/>
              </w:rPr>
            </w:pPr>
          </w:p>
        </w:tc>
        <w:tc>
          <w:tcPr>
            <w:tcW w:w="2820" w:type="dxa"/>
            <w:vMerge w:val="continue"/>
            <w:tcBorders>
              <w:left w:val="single" w:color="000000" w:sz="2" w:space="0"/>
              <w:bottom w:val="single" w:color="000000" w:sz="2" w:space="0"/>
              <w:right w:val="single" w:color="000000" w:sz="2" w:space="0"/>
            </w:tcBorders>
            <w:vAlign w:val="center"/>
          </w:tcPr>
          <w:p w14:paraId="4AC510B4">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473DD812">
            <w:pPr>
              <w:spacing w:line="360" w:lineRule="auto"/>
              <w:jc w:val="center"/>
              <w:rPr>
                <w:sz w:val="24"/>
                <w:highlight w:val="none"/>
              </w:rPr>
            </w:pPr>
            <w:r>
              <w:rPr>
                <w:rFonts w:hint="eastAsia"/>
                <w:sz w:val="24"/>
                <w:highlight w:val="none"/>
              </w:rPr>
              <w:t>拥有者性别</w:t>
            </w:r>
          </w:p>
        </w:tc>
        <w:tc>
          <w:tcPr>
            <w:tcW w:w="2475" w:type="dxa"/>
            <w:tcBorders>
              <w:top w:val="single" w:color="000000" w:sz="2" w:space="0"/>
              <w:left w:val="single" w:color="000000" w:sz="2" w:space="0"/>
              <w:bottom w:val="single" w:color="000000" w:sz="2" w:space="0"/>
            </w:tcBorders>
            <w:vAlign w:val="center"/>
          </w:tcPr>
          <w:p w14:paraId="23700312">
            <w:pPr>
              <w:spacing w:line="360" w:lineRule="auto"/>
              <w:jc w:val="center"/>
              <w:rPr>
                <w:spacing w:val="20"/>
                <w:sz w:val="24"/>
                <w:highlight w:val="none"/>
              </w:rPr>
            </w:pPr>
          </w:p>
        </w:tc>
      </w:tr>
      <w:tr w14:paraId="3BC0AC0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571E9DFD">
            <w:pPr>
              <w:spacing w:line="360" w:lineRule="auto"/>
              <w:jc w:val="center"/>
              <w:rPr>
                <w:sz w:val="24"/>
                <w:highlight w:val="none"/>
              </w:rPr>
            </w:pPr>
            <w:r>
              <w:rPr>
                <w:rFonts w:hint="eastAsia"/>
                <w:sz w:val="24"/>
                <w:highlight w:val="none"/>
              </w:rPr>
              <w:t>住所</w:t>
            </w:r>
          </w:p>
        </w:tc>
        <w:tc>
          <w:tcPr>
            <w:tcW w:w="2820" w:type="dxa"/>
            <w:tcBorders>
              <w:top w:val="single" w:color="000000" w:sz="2" w:space="0"/>
              <w:left w:val="single" w:color="000000" w:sz="2" w:space="0"/>
              <w:bottom w:val="single" w:color="000000" w:sz="2" w:space="0"/>
              <w:right w:val="single" w:color="000000" w:sz="2" w:space="0"/>
            </w:tcBorders>
            <w:vAlign w:val="center"/>
          </w:tcPr>
          <w:p w14:paraId="739148F2">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E819B3B">
            <w:pPr>
              <w:spacing w:line="360" w:lineRule="auto"/>
              <w:jc w:val="center"/>
              <w:rPr>
                <w:sz w:val="24"/>
                <w:highlight w:val="none"/>
              </w:rPr>
            </w:pPr>
            <w:r>
              <w:rPr>
                <w:rFonts w:hint="eastAsia"/>
                <w:sz w:val="24"/>
                <w:highlight w:val="none"/>
              </w:rPr>
              <w:t>住所</w:t>
            </w:r>
          </w:p>
        </w:tc>
        <w:tc>
          <w:tcPr>
            <w:tcW w:w="2475" w:type="dxa"/>
            <w:tcBorders>
              <w:top w:val="single" w:color="000000" w:sz="2" w:space="0"/>
              <w:left w:val="single" w:color="000000" w:sz="2" w:space="0"/>
              <w:bottom w:val="single" w:color="000000" w:sz="2" w:space="0"/>
            </w:tcBorders>
            <w:vAlign w:val="center"/>
          </w:tcPr>
          <w:p w14:paraId="6EFEB21A">
            <w:pPr>
              <w:spacing w:line="360" w:lineRule="auto"/>
              <w:jc w:val="center"/>
              <w:rPr>
                <w:spacing w:val="20"/>
                <w:sz w:val="24"/>
                <w:highlight w:val="none"/>
              </w:rPr>
            </w:pPr>
          </w:p>
        </w:tc>
      </w:tr>
      <w:tr w14:paraId="0C75C66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71ECF70D">
            <w:pPr>
              <w:spacing w:line="360" w:lineRule="auto"/>
              <w:jc w:val="center"/>
              <w:rPr>
                <w:sz w:val="24"/>
                <w:highlight w:val="none"/>
              </w:rPr>
            </w:pPr>
            <w:r>
              <w:rPr>
                <w:sz w:val="24"/>
                <w:highlight w:val="none"/>
              </w:rPr>
              <w:t>联 系 人</w:t>
            </w:r>
          </w:p>
        </w:tc>
        <w:tc>
          <w:tcPr>
            <w:tcW w:w="2820" w:type="dxa"/>
            <w:tcBorders>
              <w:top w:val="single" w:color="000000" w:sz="2" w:space="0"/>
              <w:left w:val="single" w:color="000000" w:sz="2" w:space="0"/>
              <w:bottom w:val="single" w:color="000000" w:sz="2" w:space="0"/>
              <w:right w:val="single" w:color="000000" w:sz="2" w:space="0"/>
            </w:tcBorders>
            <w:vAlign w:val="center"/>
          </w:tcPr>
          <w:p w14:paraId="41281196">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3646E5A3">
            <w:pPr>
              <w:spacing w:line="360" w:lineRule="auto"/>
              <w:jc w:val="center"/>
              <w:rPr>
                <w:sz w:val="24"/>
                <w:highlight w:val="none"/>
              </w:rPr>
            </w:pPr>
            <w:r>
              <w:rPr>
                <w:sz w:val="24"/>
                <w:highlight w:val="none"/>
              </w:rPr>
              <w:t>联 系 人</w:t>
            </w:r>
          </w:p>
        </w:tc>
        <w:tc>
          <w:tcPr>
            <w:tcW w:w="2475" w:type="dxa"/>
            <w:tcBorders>
              <w:top w:val="single" w:color="000000" w:sz="2" w:space="0"/>
              <w:left w:val="single" w:color="000000" w:sz="2" w:space="0"/>
              <w:bottom w:val="single" w:color="000000" w:sz="2" w:space="0"/>
            </w:tcBorders>
            <w:vAlign w:val="center"/>
          </w:tcPr>
          <w:p w14:paraId="1113B102">
            <w:pPr>
              <w:spacing w:line="360" w:lineRule="auto"/>
              <w:jc w:val="center"/>
              <w:rPr>
                <w:spacing w:val="20"/>
                <w:sz w:val="24"/>
                <w:highlight w:val="none"/>
              </w:rPr>
            </w:pPr>
          </w:p>
        </w:tc>
      </w:tr>
      <w:tr w14:paraId="20B1647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7F03B7AA">
            <w:pPr>
              <w:spacing w:line="360" w:lineRule="auto"/>
              <w:jc w:val="center"/>
              <w:rPr>
                <w:sz w:val="24"/>
                <w:highlight w:val="none"/>
              </w:rPr>
            </w:pPr>
            <w:r>
              <w:rPr>
                <w:sz w:val="24"/>
                <w:highlight w:val="none"/>
              </w:rPr>
              <w:t>联系电话</w:t>
            </w:r>
          </w:p>
        </w:tc>
        <w:tc>
          <w:tcPr>
            <w:tcW w:w="2820" w:type="dxa"/>
            <w:tcBorders>
              <w:top w:val="single" w:color="000000" w:sz="2" w:space="0"/>
              <w:left w:val="single" w:color="000000" w:sz="2" w:space="0"/>
              <w:bottom w:val="single" w:color="000000" w:sz="2" w:space="0"/>
              <w:right w:val="single" w:color="000000" w:sz="2" w:space="0"/>
            </w:tcBorders>
            <w:vAlign w:val="center"/>
          </w:tcPr>
          <w:p w14:paraId="37C0CD6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609AA7D">
            <w:pPr>
              <w:spacing w:line="360" w:lineRule="auto"/>
              <w:jc w:val="center"/>
              <w:rPr>
                <w:sz w:val="24"/>
                <w:highlight w:val="none"/>
              </w:rPr>
            </w:pPr>
            <w:r>
              <w:rPr>
                <w:sz w:val="24"/>
                <w:highlight w:val="none"/>
              </w:rPr>
              <w:t>联系电话</w:t>
            </w:r>
          </w:p>
        </w:tc>
        <w:tc>
          <w:tcPr>
            <w:tcW w:w="2475" w:type="dxa"/>
            <w:tcBorders>
              <w:top w:val="single" w:color="000000" w:sz="2" w:space="0"/>
              <w:left w:val="single" w:color="000000" w:sz="2" w:space="0"/>
              <w:bottom w:val="single" w:color="000000" w:sz="2" w:space="0"/>
            </w:tcBorders>
            <w:vAlign w:val="center"/>
          </w:tcPr>
          <w:p w14:paraId="37C5A6F4">
            <w:pPr>
              <w:spacing w:line="360" w:lineRule="auto"/>
              <w:jc w:val="center"/>
              <w:rPr>
                <w:spacing w:val="20"/>
                <w:sz w:val="24"/>
                <w:highlight w:val="none"/>
              </w:rPr>
            </w:pPr>
          </w:p>
        </w:tc>
      </w:tr>
      <w:tr w14:paraId="65A3AE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76E8EC3F">
            <w:pPr>
              <w:spacing w:line="360" w:lineRule="auto"/>
              <w:jc w:val="center"/>
              <w:rPr>
                <w:sz w:val="24"/>
                <w:highlight w:val="none"/>
              </w:rPr>
            </w:pPr>
            <w:r>
              <w:rPr>
                <w:rFonts w:hint="eastAsia"/>
                <w:sz w:val="24"/>
                <w:highlight w:val="none"/>
              </w:rPr>
              <w:t>通信地址</w:t>
            </w:r>
          </w:p>
        </w:tc>
        <w:tc>
          <w:tcPr>
            <w:tcW w:w="2820" w:type="dxa"/>
            <w:tcBorders>
              <w:top w:val="single" w:color="000000" w:sz="2" w:space="0"/>
              <w:left w:val="single" w:color="000000" w:sz="2" w:space="0"/>
              <w:bottom w:val="single" w:color="000000" w:sz="2" w:space="0"/>
              <w:right w:val="single" w:color="000000" w:sz="2" w:space="0"/>
            </w:tcBorders>
            <w:vAlign w:val="center"/>
          </w:tcPr>
          <w:p w14:paraId="28BEF0E4">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2465B699">
            <w:pPr>
              <w:spacing w:line="360" w:lineRule="auto"/>
              <w:jc w:val="center"/>
              <w:rPr>
                <w:sz w:val="24"/>
                <w:highlight w:val="none"/>
              </w:rPr>
            </w:pPr>
            <w:r>
              <w:rPr>
                <w:rFonts w:hint="eastAsia"/>
                <w:sz w:val="24"/>
                <w:highlight w:val="none"/>
              </w:rPr>
              <w:t>通信地址</w:t>
            </w:r>
          </w:p>
        </w:tc>
        <w:tc>
          <w:tcPr>
            <w:tcW w:w="2475" w:type="dxa"/>
            <w:tcBorders>
              <w:top w:val="single" w:color="000000" w:sz="2" w:space="0"/>
              <w:left w:val="single" w:color="000000" w:sz="2" w:space="0"/>
              <w:bottom w:val="single" w:color="000000" w:sz="2" w:space="0"/>
            </w:tcBorders>
            <w:vAlign w:val="center"/>
          </w:tcPr>
          <w:p w14:paraId="13A0085B">
            <w:pPr>
              <w:spacing w:line="360" w:lineRule="auto"/>
              <w:jc w:val="center"/>
              <w:rPr>
                <w:spacing w:val="20"/>
                <w:sz w:val="24"/>
                <w:highlight w:val="none"/>
              </w:rPr>
            </w:pPr>
          </w:p>
        </w:tc>
      </w:tr>
      <w:tr w14:paraId="53963E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052DA156">
            <w:pPr>
              <w:spacing w:line="360" w:lineRule="auto"/>
              <w:jc w:val="center"/>
              <w:rPr>
                <w:sz w:val="24"/>
                <w:highlight w:val="none"/>
              </w:rPr>
            </w:pPr>
            <w:r>
              <w:rPr>
                <w:sz w:val="24"/>
                <w:highlight w:val="none"/>
              </w:rPr>
              <w:t>邮政编码</w:t>
            </w:r>
          </w:p>
        </w:tc>
        <w:tc>
          <w:tcPr>
            <w:tcW w:w="2820" w:type="dxa"/>
            <w:tcBorders>
              <w:top w:val="single" w:color="000000" w:sz="2" w:space="0"/>
              <w:left w:val="single" w:color="000000" w:sz="2" w:space="0"/>
              <w:bottom w:val="single" w:color="000000" w:sz="2" w:space="0"/>
              <w:right w:val="single" w:color="000000" w:sz="2" w:space="0"/>
            </w:tcBorders>
            <w:vAlign w:val="center"/>
          </w:tcPr>
          <w:p w14:paraId="1E90DA8B">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0869C044">
            <w:pPr>
              <w:spacing w:line="360" w:lineRule="auto"/>
              <w:jc w:val="center"/>
              <w:rPr>
                <w:sz w:val="24"/>
                <w:highlight w:val="none"/>
              </w:rPr>
            </w:pPr>
            <w:r>
              <w:rPr>
                <w:sz w:val="24"/>
                <w:highlight w:val="none"/>
              </w:rPr>
              <w:t>邮政编码</w:t>
            </w:r>
          </w:p>
        </w:tc>
        <w:tc>
          <w:tcPr>
            <w:tcW w:w="2475" w:type="dxa"/>
            <w:tcBorders>
              <w:top w:val="single" w:color="000000" w:sz="2" w:space="0"/>
              <w:left w:val="single" w:color="000000" w:sz="2" w:space="0"/>
              <w:bottom w:val="single" w:color="000000" w:sz="2" w:space="0"/>
            </w:tcBorders>
            <w:vAlign w:val="center"/>
          </w:tcPr>
          <w:p w14:paraId="696EDD4D">
            <w:pPr>
              <w:spacing w:line="360" w:lineRule="auto"/>
              <w:jc w:val="center"/>
              <w:rPr>
                <w:spacing w:val="20"/>
                <w:sz w:val="24"/>
                <w:highlight w:val="none"/>
              </w:rPr>
            </w:pPr>
          </w:p>
        </w:tc>
      </w:tr>
      <w:tr w14:paraId="13833B0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39EC3F58">
            <w:pPr>
              <w:spacing w:line="360" w:lineRule="auto"/>
              <w:jc w:val="center"/>
              <w:rPr>
                <w:sz w:val="24"/>
                <w:highlight w:val="none"/>
              </w:rPr>
            </w:pPr>
            <w:r>
              <w:rPr>
                <w:rFonts w:hint="eastAsia"/>
                <w:sz w:val="24"/>
                <w:highlight w:val="none"/>
              </w:rPr>
              <w:t>电子邮箱</w:t>
            </w:r>
          </w:p>
        </w:tc>
        <w:tc>
          <w:tcPr>
            <w:tcW w:w="2820" w:type="dxa"/>
            <w:tcBorders>
              <w:top w:val="single" w:color="000000" w:sz="2" w:space="0"/>
              <w:left w:val="single" w:color="000000" w:sz="2" w:space="0"/>
              <w:bottom w:val="single" w:color="000000" w:sz="2" w:space="0"/>
              <w:right w:val="single" w:color="000000" w:sz="2" w:space="0"/>
            </w:tcBorders>
            <w:vAlign w:val="center"/>
          </w:tcPr>
          <w:p w14:paraId="0546D93B">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273B1C17">
            <w:pPr>
              <w:spacing w:line="360" w:lineRule="auto"/>
              <w:jc w:val="center"/>
              <w:rPr>
                <w:sz w:val="24"/>
                <w:highlight w:val="none"/>
              </w:rPr>
            </w:pPr>
            <w:r>
              <w:rPr>
                <w:rFonts w:hint="eastAsia"/>
                <w:sz w:val="24"/>
                <w:highlight w:val="none"/>
              </w:rPr>
              <w:t>电子邮箱</w:t>
            </w:r>
          </w:p>
        </w:tc>
        <w:tc>
          <w:tcPr>
            <w:tcW w:w="2475" w:type="dxa"/>
            <w:tcBorders>
              <w:top w:val="single" w:color="000000" w:sz="2" w:space="0"/>
              <w:left w:val="single" w:color="000000" w:sz="2" w:space="0"/>
              <w:bottom w:val="single" w:color="000000" w:sz="2" w:space="0"/>
            </w:tcBorders>
            <w:vAlign w:val="center"/>
          </w:tcPr>
          <w:p w14:paraId="4D2691ED">
            <w:pPr>
              <w:spacing w:line="360" w:lineRule="auto"/>
              <w:jc w:val="center"/>
              <w:rPr>
                <w:spacing w:val="20"/>
                <w:sz w:val="24"/>
                <w:highlight w:val="none"/>
              </w:rPr>
            </w:pPr>
          </w:p>
        </w:tc>
      </w:tr>
      <w:tr w14:paraId="29182E6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1384C81C">
            <w:pPr>
              <w:spacing w:line="360" w:lineRule="auto"/>
              <w:jc w:val="center"/>
              <w:rPr>
                <w:sz w:val="24"/>
                <w:highlight w:val="none"/>
              </w:rPr>
            </w:pPr>
            <w:r>
              <w:rPr>
                <w:rFonts w:hint="eastAsia"/>
                <w:sz w:val="24"/>
                <w:highlight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vAlign w:val="center"/>
          </w:tcPr>
          <w:p w14:paraId="4DE63339">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3465C6C9">
            <w:pPr>
              <w:spacing w:line="360" w:lineRule="auto"/>
              <w:jc w:val="center"/>
              <w:rPr>
                <w:sz w:val="24"/>
                <w:highlight w:val="none"/>
              </w:rPr>
            </w:pPr>
            <w:r>
              <w:rPr>
                <w:rFonts w:hint="eastAsia"/>
                <w:sz w:val="24"/>
                <w:highlight w:val="none"/>
              </w:rPr>
              <w:t>统一社会信用代码</w:t>
            </w:r>
          </w:p>
        </w:tc>
        <w:tc>
          <w:tcPr>
            <w:tcW w:w="2475" w:type="dxa"/>
            <w:tcBorders>
              <w:top w:val="single" w:color="000000" w:sz="2" w:space="0"/>
              <w:left w:val="single" w:color="000000" w:sz="2" w:space="0"/>
              <w:bottom w:val="single" w:color="000000" w:sz="2" w:space="0"/>
            </w:tcBorders>
            <w:vAlign w:val="center"/>
          </w:tcPr>
          <w:p w14:paraId="5BD2578C">
            <w:pPr>
              <w:spacing w:line="360" w:lineRule="auto"/>
              <w:jc w:val="center"/>
              <w:rPr>
                <w:spacing w:val="20"/>
                <w:sz w:val="24"/>
                <w:highlight w:val="none"/>
              </w:rPr>
            </w:pPr>
          </w:p>
        </w:tc>
      </w:tr>
      <w:tr w14:paraId="0CE93E5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20108282">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414C45B2">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62FF69CE">
            <w:pPr>
              <w:spacing w:line="360" w:lineRule="auto"/>
              <w:jc w:val="center"/>
              <w:rPr>
                <w:sz w:val="24"/>
                <w:highlight w:val="none"/>
              </w:rPr>
            </w:pPr>
            <w:r>
              <w:rPr>
                <w:sz w:val="24"/>
                <w:highlight w:val="none"/>
              </w:rPr>
              <w:t>开户名称</w:t>
            </w:r>
          </w:p>
        </w:tc>
        <w:tc>
          <w:tcPr>
            <w:tcW w:w="2475" w:type="dxa"/>
            <w:tcBorders>
              <w:top w:val="single" w:color="000000" w:sz="2" w:space="0"/>
              <w:left w:val="single" w:color="000000" w:sz="2" w:space="0"/>
              <w:bottom w:val="single" w:color="000000" w:sz="2" w:space="0"/>
            </w:tcBorders>
            <w:vAlign w:val="center"/>
          </w:tcPr>
          <w:p w14:paraId="663282AC">
            <w:pPr>
              <w:spacing w:line="360" w:lineRule="auto"/>
              <w:jc w:val="center"/>
              <w:rPr>
                <w:spacing w:val="20"/>
                <w:sz w:val="24"/>
                <w:highlight w:val="none"/>
              </w:rPr>
            </w:pPr>
          </w:p>
        </w:tc>
      </w:tr>
      <w:tr w14:paraId="33F741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2E730B4D">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36D27DC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4536EB29">
            <w:pPr>
              <w:spacing w:line="360" w:lineRule="auto"/>
              <w:jc w:val="center"/>
              <w:rPr>
                <w:sz w:val="24"/>
                <w:highlight w:val="none"/>
              </w:rPr>
            </w:pPr>
            <w:r>
              <w:rPr>
                <w:sz w:val="24"/>
                <w:highlight w:val="none"/>
              </w:rPr>
              <w:t>开户银行</w:t>
            </w:r>
          </w:p>
        </w:tc>
        <w:tc>
          <w:tcPr>
            <w:tcW w:w="2475" w:type="dxa"/>
            <w:tcBorders>
              <w:top w:val="single" w:color="000000" w:sz="2" w:space="0"/>
              <w:left w:val="single" w:color="000000" w:sz="2" w:space="0"/>
              <w:bottom w:val="single" w:color="000000" w:sz="2" w:space="0"/>
            </w:tcBorders>
            <w:vAlign w:val="center"/>
          </w:tcPr>
          <w:p w14:paraId="74564506">
            <w:pPr>
              <w:spacing w:line="360" w:lineRule="auto"/>
              <w:jc w:val="center"/>
              <w:rPr>
                <w:spacing w:val="20"/>
                <w:sz w:val="24"/>
                <w:highlight w:val="none"/>
              </w:rPr>
            </w:pPr>
          </w:p>
        </w:tc>
      </w:tr>
      <w:tr w14:paraId="3243D88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2469758A">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217E74F7">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02631932">
            <w:pPr>
              <w:spacing w:line="360" w:lineRule="auto"/>
              <w:jc w:val="center"/>
              <w:rPr>
                <w:sz w:val="24"/>
                <w:highlight w:val="none"/>
              </w:rPr>
            </w:pPr>
            <w:r>
              <w:rPr>
                <w:sz w:val="24"/>
                <w:highlight w:val="none"/>
              </w:rPr>
              <w:t>银行账号</w:t>
            </w:r>
          </w:p>
        </w:tc>
        <w:tc>
          <w:tcPr>
            <w:tcW w:w="2475" w:type="dxa"/>
            <w:tcBorders>
              <w:top w:val="single" w:color="000000" w:sz="2" w:space="0"/>
              <w:left w:val="single" w:color="000000" w:sz="2" w:space="0"/>
              <w:bottom w:val="single" w:color="000000" w:sz="2" w:space="0"/>
            </w:tcBorders>
            <w:vAlign w:val="center"/>
          </w:tcPr>
          <w:p w14:paraId="3917DB4A">
            <w:pPr>
              <w:spacing w:line="360" w:lineRule="auto"/>
              <w:jc w:val="center"/>
              <w:rPr>
                <w:spacing w:val="20"/>
                <w:sz w:val="24"/>
                <w:highlight w:val="none"/>
              </w:rPr>
            </w:pPr>
          </w:p>
        </w:tc>
      </w:tr>
      <w:tr w14:paraId="2B89C4E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vAlign w:val="center"/>
          </w:tcPr>
          <w:p w14:paraId="6DD1FD37">
            <w:pPr>
              <w:spacing w:line="360" w:lineRule="auto"/>
              <w:jc w:val="left"/>
              <w:rPr>
                <w:spacing w:val="20"/>
                <w:sz w:val="24"/>
                <w:highlight w:val="none"/>
              </w:rPr>
            </w:pPr>
            <w:r>
              <w:rPr>
                <w:rFonts w:hint="eastAsia" w:ascii="宋体" w:hAnsi="宋体"/>
                <w:sz w:val="24"/>
                <w:highlight w:val="none"/>
              </w:rPr>
              <w:t>注：涉及联合体或其他合同主体的信息应按上表格式加列。</w:t>
            </w:r>
          </w:p>
        </w:tc>
      </w:tr>
    </w:tbl>
    <w:p w14:paraId="65573005">
      <w:pPr>
        <w:pStyle w:val="2"/>
        <w:adjustRightInd w:val="0"/>
        <w:snapToGrid w:val="0"/>
        <w:spacing w:before="156" w:beforeLines="50"/>
        <w:jc w:val="center"/>
        <w:rPr>
          <w:rFonts w:ascii="黑体" w:hAnsi="黑体" w:eastAsia="黑体"/>
          <w:sz w:val="28"/>
          <w:szCs w:val="28"/>
          <w:highlight w:val="none"/>
        </w:rPr>
      </w:pPr>
      <w:r>
        <w:rPr>
          <w:rFonts w:ascii="宋体" w:hAnsi="宋体"/>
          <w:highlight w:val="none"/>
          <w:u w:val="single"/>
        </w:rPr>
        <w:br w:type="page" w:clear="all"/>
      </w:r>
      <w:bookmarkStart w:id="192" w:name="_Toc27624"/>
      <w:bookmarkStart w:id="193" w:name="_Toc20313"/>
      <w:r>
        <w:rPr>
          <w:rFonts w:hint="eastAsia" w:ascii="黑体" w:hAnsi="黑体" w:eastAsia="黑体"/>
          <w:b w:val="0"/>
          <w:bCs w:val="0"/>
          <w:sz w:val="28"/>
          <w:szCs w:val="28"/>
          <w:highlight w:val="none"/>
        </w:rPr>
        <w:t>第二节 政府采购合同通用条款</w:t>
      </w:r>
      <w:bookmarkEnd w:id="192"/>
    </w:p>
    <w:p w14:paraId="1D36EB76">
      <w:pPr>
        <w:tabs>
          <w:tab w:val="left" w:pos="8820"/>
          <w:tab w:val="left" w:pos="9345"/>
          <w:tab w:val="left" w:pos="9765"/>
        </w:tabs>
        <w:adjustRightInd w:val="0"/>
        <w:snapToGrid w:val="0"/>
        <w:spacing w:line="400" w:lineRule="exact"/>
        <w:jc w:val="left"/>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14:paraId="6270F884">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1BAA3A2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5451F6B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366EC87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14:paraId="353E6D28">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1.2本合同下列术语应解释为：</w:t>
      </w:r>
    </w:p>
    <w:p w14:paraId="394DB0A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14:paraId="474E37B1">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0E173658">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w:t>
      </w:r>
      <w:r>
        <w:rPr>
          <w:rFonts w:hint="eastAsia" w:ascii="宋体" w:hAnsi="宋体"/>
          <w:color w:val="000000" w:themeColor="text1"/>
          <w:szCs w:val="21"/>
          <w:highlight w:val="none"/>
          <w:lang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备品备件、工具、手册及</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077817FD">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07754CBB">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CE1E422">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98468A8">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17F06B8C">
      <w:pPr>
        <w:numPr>
          <w:ilvl w:val="0"/>
          <w:numId w:val="5"/>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0506EFE3">
      <w:pPr>
        <w:autoSpaceDE w:val="0"/>
        <w:autoSpaceDN w:val="0"/>
        <w:adjustRightInd w:val="0"/>
        <w:snapToGrid w:val="0"/>
        <w:spacing w:line="400" w:lineRule="exact"/>
        <w:ind w:firstLine="420" w:firstLineChars="200"/>
        <w:jc w:val="lef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3A0F7BC7">
      <w:pPr>
        <w:adjustRightInd w:val="0"/>
        <w:snapToGrid w:val="0"/>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7ACC86F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乙方应当在约定的时间、地点，按照约定方式履行合同。</w:t>
      </w:r>
    </w:p>
    <w:p w14:paraId="665B929A">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14:paraId="5817641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01862DF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3468F00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68BD8DFC">
      <w:pPr>
        <w:snapToGrid w:val="0"/>
        <w:spacing w:line="400" w:lineRule="exact"/>
        <w:ind w:firstLine="420" w:firstLineChars="200"/>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s="宋体"/>
          <w:szCs w:val="21"/>
          <w:highlight w:val="none"/>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748B4259">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3F5037B9">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 国家法律法规规定及</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3A9D7CCC">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14:paraId="7E2E01E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签署合同后，乙方应确定项目负责人（或项目联系人），负责与本合同有关的事务。</w:t>
      </w:r>
    </w:p>
    <w:p w14:paraId="07FA7F8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pPr>
        <w:pStyle w:val="4"/>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14:paraId="5C35852B">
      <w:pPr>
        <w:pStyle w:val="4"/>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14:paraId="70FD791A">
      <w:pPr>
        <w:numPr>
          <w:ilvl w:val="0"/>
          <w:numId w:val="6"/>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14:paraId="1FAF263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03864815">
      <w:pPr>
        <w:autoSpaceDE w:val="0"/>
        <w:autoSpaceDN w:val="0"/>
        <w:adjustRightInd w:val="0"/>
        <w:snapToGrid w:val="0"/>
        <w:spacing w:line="400" w:lineRule="exact"/>
        <w:ind w:firstLine="420" w:firstLineChars="200"/>
        <w:jc w:val="left"/>
        <w:rPr>
          <w:rFonts w:hint="eastAsia"/>
          <w:highlight w:val="none"/>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408A992F">
      <w:pPr>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14:paraId="03417B2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064787F5">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019A1CB4">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7793F4F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5A469094">
      <w:pPr>
        <w:pStyle w:val="17"/>
        <w:ind w:firstLine="420"/>
        <w:rPr>
          <w:rFonts w:hint="eastAsia"/>
          <w:sz w:val="21"/>
          <w:highlight w:val="none"/>
        </w:rPr>
      </w:pPr>
      <w:r>
        <w:rPr>
          <w:rFonts w:hint="eastAsia" w:ascii="宋体" w:hAnsi="宋体" w:eastAsia="宋体" w:cs="Times New Roman"/>
          <w:color w:val="000000" w:themeColor="text1"/>
          <w:kern w:val="2"/>
          <w:sz w:val="21"/>
          <w:highlight w:val="none"/>
          <w14:textFill>
            <w14:solidFill>
              <w14:schemeClr w14:val="tx1"/>
            </w14:solidFill>
          </w14:textFill>
        </w:rPr>
        <w:t xml:space="preserve">7.6 </w:t>
      </w:r>
      <w:r>
        <w:rPr>
          <w:rFonts w:hint="eastAsia" w:ascii="宋体" w:hAnsi="宋体" w:eastAsia="宋体" w:cs="Times New Roman"/>
          <w:color w:val="000000"/>
          <w:kern w:val="2"/>
          <w:sz w:val="21"/>
          <w:highlight w:val="none"/>
        </w:rPr>
        <w:t>如因包装、运输问题导致货物</w:t>
      </w:r>
      <w:r>
        <w:rPr>
          <w:rFonts w:hint="eastAsia" w:ascii="宋体" w:hAnsi="宋体" w:eastAsia="宋体" w:cs="Times New Roman"/>
          <w:color w:val="000000" w:themeColor="text1"/>
          <w:kern w:val="2"/>
          <w:sz w:val="21"/>
          <w:highlight w:val="none"/>
          <w14:textFill>
            <w14:solidFill>
              <w14:schemeClr w14:val="tx1"/>
            </w14:solidFill>
          </w14:textFill>
        </w:rPr>
        <w:t>损毁、丢失</w:t>
      </w:r>
      <w:r>
        <w:rPr>
          <w:rFonts w:hint="eastAsia" w:ascii="宋体" w:hAnsi="宋体" w:eastAsia="宋体" w:cs="Times New Roman"/>
          <w:color w:val="000000"/>
          <w:kern w:val="2"/>
          <w:sz w:val="21"/>
          <w:highlight w:val="none"/>
        </w:rPr>
        <w:t>或者品质下降，甲方有权要求降价、换货、拒收部分或整批货物，由此产生的费用和损失，均由乙方承担。</w:t>
      </w:r>
    </w:p>
    <w:p w14:paraId="30658CFE">
      <w:pPr>
        <w:adjustRightInd w:val="0"/>
        <w:snapToGrid w:val="0"/>
        <w:spacing w:line="400" w:lineRule="exact"/>
        <w:jc w:val="lef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质量标准和保证</w:t>
      </w:r>
    </w:p>
    <w:p w14:paraId="6A18DFCB">
      <w:pPr>
        <w:pStyle w:val="5"/>
        <w:adjustRightInd w:val="0"/>
        <w:snapToGrid w:val="0"/>
        <w:spacing w:line="400" w:lineRule="exact"/>
        <w:ind w:firstLine="420" w:firstLineChars="200"/>
        <w:jc w:val="left"/>
        <w:rPr>
          <w:rFonts w:hint="eastAsia" w:hAnsi="宋体"/>
          <w:b/>
          <w:highlight w:val="none"/>
        </w:rPr>
      </w:pPr>
      <w:r>
        <w:rPr>
          <w:rFonts w:hint="eastAsia" w:hAnsi="宋体"/>
          <w:highlight w:val="none"/>
        </w:rPr>
        <w:t>8.1 质量标准</w:t>
      </w:r>
    </w:p>
    <w:p w14:paraId="6367E70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pPr>
        <w:pStyle w:val="5"/>
        <w:adjustRightInd w:val="0"/>
        <w:snapToGrid w:val="0"/>
        <w:spacing w:line="400" w:lineRule="exact"/>
        <w:ind w:firstLine="420" w:firstLineChars="200"/>
        <w:jc w:val="left"/>
        <w:rPr>
          <w:rFonts w:hint="eastAsia" w:hAnsi="宋体"/>
          <w:highlight w:val="none"/>
        </w:rPr>
      </w:pPr>
      <w:r>
        <w:rPr>
          <w:rFonts w:hint="eastAsia" w:hAnsi="宋体"/>
          <w:highlight w:val="none"/>
        </w:rPr>
        <w:t>（2）采用中华人民共和国法定计量单位。</w:t>
      </w:r>
    </w:p>
    <w:p w14:paraId="505C280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（3）乙方所提供的货物应符合国家有关安全、环保、卫生的规定。</w:t>
      </w:r>
    </w:p>
    <w:p w14:paraId="1066785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1ED6500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8.2 保证</w:t>
      </w:r>
    </w:p>
    <w:p w14:paraId="670C754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4FFD430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（2）在质量保证期内所发现的缺陷，甲方应尽快以书面形式通知乙方。</w:t>
      </w:r>
    </w:p>
    <w:p w14:paraId="34CD0C1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4209BB2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5</w:t>
      </w:r>
      <w:r>
        <w:rPr>
          <w:rFonts w:hint="eastAsia" w:ascii="宋体" w:hAnsi="宋体"/>
          <w:szCs w:val="21"/>
          <w:highlight w:val="none"/>
        </w:rPr>
        <w:t>.1条规定以书面形式</w:t>
      </w:r>
      <w:r>
        <w:rPr>
          <w:rFonts w:hint="eastAsia" w:ascii="宋体" w:hAnsi="宋体"/>
          <w:color w:val="000000" w:themeColor="text1"/>
          <w:szCs w:val="21"/>
          <w:highlight w:val="none"/>
          <w14:textFill>
            <w14:solidFill>
              <w14:schemeClr w14:val="tx1"/>
            </w14:solidFill>
          </w14:textFill>
        </w:rPr>
        <w:t>追究</w:t>
      </w:r>
      <w:r>
        <w:rPr>
          <w:rFonts w:hint="eastAsia" w:ascii="宋体" w:hAnsi="宋体"/>
          <w:szCs w:val="21"/>
          <w:highlight w:val="none"/>
        </w:rPr>
        <w:t>乙方</w:t>
      </w:r>
      <w:r>
        <w:rPr>
          <w:rFonts w:hint="eastAsia" w:ascii="宋体" w:hAnsi="宋体"/>
          <w:color w:val="000000" w:themeColor="text1"/>
          <w:szCs w:val="21"/>
          <w:highlight w:val="none"/>
          <w14:textFill>
            <w14:solidFill>
              <w14:schemeClr w14:val="tx1"/>
            </w14:solidFill>
          </w14:textFill>
        </w:rPr>
        <w:t>的违约责任</w:t>
      </w:r>
      <w:r>
        <w:rPr>
          <w:rFonts w:hint="eastAsia" w:ascii="宋体" w:hAnsi="宋体"/>
          <w:szCs w:val="21"/>
          <w:highlight w:val="none"/>
        </w:rPr>
        <w:t>。</w:t>
      </w:r>
    </w:p>
    <w:p w14:paraId="743A2F36">
      <w:pPr>
        <w:adjustRightInd w:val="0"/>
        <w:snapToGrid w:val="0"/>
        <w:spacing w:line="400" w:lineRule="exact"/>
        <w:ind w:firstLine="420" w:firstLineChars="200"/>
        <w:jc w:val="left"/>
        <w:rPr>
          <w:rFonts w:hint="eastAsia"/>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5B26992E">
      <w:pPr>
        <w:adjustRightInd w:val="0"/>
        <w:snapToGrid w:val="0"/>
        <w:spacing w:line="400" w:lineRule="exact"/>
        <w:jc w:val="lef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9</w:t>
      </w:r>
      <w:r>
        <w:rPr>
          <w:rFonts w:hint="eastAsia" w:ascii="宋体" w:hAnsi="宋体"/>
          <w:b/>
          <w:bCs/>
          <w:sz w:val="24"/>
          <w:highlight w:val="none"/>
        </w:rPr>
        <w:t>.</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权利瑕疵担保</w:t>
      </w:r>
    </w:p>
    <w:p w14:paraId="3242AA6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5FAEF51C">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乙方保证在交付的货物上不存在抵押权等担保物权。</w:t>
      </w:r>
    </w:p>
    <w:p w14:paraId="65DEEB8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21F04C66">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14:paraId="3B6CA66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w:t>
      </w:r>
      <w:r>
        <w:rPr>
          <w:rFonts w:hint="eastAsia" w:ascii="宋体" w:hAnsi="宋体"/>
          <w:szCs w:val="21"/>
          <w:highlight w:val="none"/>
        </w:rPr>
        <w:t>何第三人的知识产权等权利。</w:t>
      </w:r>
      <w:bookmarkStart w:id="194"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194"/>
      <w:r>
        <w:rPr>
          <w:rFonts w:hint="eastAsia" w:ascii="宋体" w:hAnsi="宋体"/>
          <w:szCs w:val="21"/>
          <w:highlight w:val="none"/>
        </w:rPr>
        <w:t>。</w:t>
      </w:r>
    </w:p>
    <w:p w14:paraId="19A08117">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11. 保密义务</w:t>
      </w:r>
    </w:p>
    <w:p w14:paraId="4B3F0FCC">
      <w:pPr>
        <w:autoSpaceDE w:val="0"/>
        <w:autoSpaceDN w:val="0"/>
        <w:adjustRightInd w:val="0"/>
        <w:snapToGrid w:val="0"/>
        <w:spacing w:line="400" w:lineRule="exact"/>
        <w:ind w:firstLine="420" w:firstLineChars="200"/>
        <w:jc w:val="left"/>
        <w:rPr>
          <w:rFonts w:hint="eastAsia"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62EFEBF0">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12. 合同价款支付</w:t>
      </w:r>
    </w:p>
    <w:p w14:paraId="43D3530D">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12.1 合同价款支付按照国库集中支付制度及财政管理相关规定执行。</w:t>
      </w:r>
    </w:p>
    <w:p w14:paraId="2F40B944">
      <w:pPr>
        <w:pStyle w:val="2"/>
        <w:spacing w:line="400" w:lineRule="exact"/>
        <w:ind w:firstLine="420" w:firstLineChars="200"/>
        <w:rPr>
          <w:rFonts w:hint="eastAsia"/>
          <w:highlight w:val="none"/>
        </w:rPr>
      </w:pPr>
      <w:r>
        <w:rPr>
          <w:rFonts w:hint="eastAsia" w:ascii="宋体" w:hAnsi="宋体" w:cs="宋体" w:eastAsiaTheme="minorEastAsia"/>
          <w:b w:val="0"/>
          <w:bCs w:val="0"/>
          <w:kern w:val="2"/>
          <w:sz w:val="21"/>
          <w:szCs w:val="15"/>
          <w:highlight w:val="none"/>
          <w:lang w:val="en-US" w:eastAsia="zh-CN" w:bidi="ar-SA"/>
        </w:rPr>
        <w:t>12.2 对于满足合同约定支付条件的，甲方原则上应当自收到发票后10个工作日内将资</w:t>
      </w:r>
      <w:r>
        <w:rPr>
          <w:rFonts w:hint="eastAsia" w:ascii="宋体" w:hAnsi="宋体"/>
          <w:b w:val="0"/>
          <w:bCs w:val="0"/>
          <w:sz w:val="21"/>
          <w:szCs w:val="21"/>
          <w:highlight w:val="none"/>
        </w:rPr>
        <w:t>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政府采购合同专用条款</w:t>
      </w:r>
      <w:r>
        <w:rPr>
          <w:rFonts w:hint="eastAsia" w:ascii="宋体" w:hAnsi="宋体"/>
          <w:b w:val="0"/>
          <w:bCs w:val="0"/>
          <w:sz w:val="21"/>
          <w:szCs w:val="21"/>
          <w:highlight w:val="none"/>
        </w:rPr>
        <w:t>】中约定。</w:t>
      </w:r>
    </w:p>
    <w:p w14:paraId="25B586DF">
      <w:pPr>
        <w:pStyle w:val="4"/>
        <w:spacing w:after="0" w:line="400" w:lineRule="exact"/>
        <w:rPr>
          <w:rFonts w:ascii="宋体" w:hAnsi="宋体"/>
          <w:b/>
          <w:bCs/>
          <w:sz w:val="24"/>
          <w:szCs w:val="24"/>
          <w:highlight w:val="none"/>
        </w:rPr>
      </w:pPr>
      <w:r>
        <w:rPr>
          <w:rFonts w:hint="eastAsia" w:ascii="宋体" w:hAnsi="宋体"/>
          <w:b/>
          <w:bCs/>
          <w:sz w:val="24"/>
          <w:szCs w:val="24"/>
          <w:highlight w:val="none"/>
        </w:rPr>
        <w:t>13. 履约保证金</w:t>
      </w:r>
    </w:p>
    <w:p w14:paraId="585F28D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53888A2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6A9509F">
      <w:pPr>
        <w:spacing w:line="400" w:lineRule="exact"/>
        <w:ind w:firstLine="420"/>
        <w:rPr>
          <w:rFonts w:hint="eastAsia"/>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02C7D211">
      <w:pPr>
        <w:autoSpaceDE w:val="0"/>
        <w:autoSpaceDN w:val="0"/>
        <w:adjustRightInd w:val="0"/>
        <w:snapToGrid w:val="0"/>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14:paraId="250642C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6961848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（1）货物的现场移动、安装、调试、启动监督及技术支持；</w:t>
      </w:r>
    </w:p>
    <w:p w14:paraId="33C526D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（2）提供货物组装和维修所需的专用工具和辅助材料；</w:t>
      </w:r>
    </w:p>
    <w:p w14:paraId="095FC4A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461379A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6F53DC10">
      <w:pPr>
        <w:pStyle w:val="17"/>
        <w:ind w:firstLine="420"/>
        <w:rPr>
          <w:rFonts w:hint="eastAsia"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4341489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34E3D95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14.2 乙方提供的售后服务的费用已包含在合同价款中，甲方不再另行支付。</w:t>
      </w:r>
    </w:p>
    <w:p w14:paraId="6520F4CD">
      <w:p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15. 违约责任</w:t>
      </w:r>
    </w:p>
    <w:p w14:paraId="68C76851">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15.1质量瑕疵的违约责任</w:t>
      </w:r>
    </w:p>
    <w:p w14:paraId="02A93C9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0603F2C2">
      <w:pPr>
        <w:autoSpaceDE w:val="0"/>
        <w:autoSpaceDN w:val="0"/>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15.2 迟延交货的违约责任</w:t>
      </w:r>
    </w:p>
    <w:p w14:paraId="470A3EA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3E7F0B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15.3 迟延支付的违约责任</w:t>
      </w:r>
    </w:p>
    <w:p w14:paraId="4F0CB68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23C23C35">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046DA73C">
      <w:pPr>
        <w:numPr>
          <w:ilvl w:val="0"/>
          <w:numId w:val="7"/>
        </w:num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合同变更、中止与终止</w:t>
      </w:r>
    </w:p>
    <w:p w14:paraId="0CC719FB">
      <w:pPr>
        <w:adjustRightInd w:val="0"/>
        <w:snapToGrid w:val="0"/>
        <w:spacing w:line="400" w:lineRule="exact"/>
        <w:jc w:val="left"/>
        <w:rPr>
          <w:rFonts w:hint="eastAsia" w:ascii="宋体" w:hAnsi="宋体"/>
          <w:szCs w:val="21"/>
          <w:highlight w:val="none"/>
        </w:rPr>
      </w:pPr>
      <w:r>
        <w:rPr>
          <w:rFonts w:hint="eastAsia" w:ascii="宋体" w:hAnsi="宋体"/>
          <w:szCs w:val="21"/>
          <w:highlight w:val="none"/>
        </w:rPr>
        <w:t xml:space="preserve">    16.1合同的变更</w:t>
      </w:r>
    </w:p>
    <w:p w14:paraId="19F4454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468DC39E">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16.2合同的中止</w:t>
      </w:r>
    </w:p>
    <w:p w14:paraId="6F70498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5D9C493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pPr>
        <w:pStyle w:val="17"/>
        <w:ind w:firstLine="420"/>
        <w:jc w:val="both"/>
        <w:rPr>
          <w:rFonts w:hint="eastAsia"/>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298C7D9">
      <w:pPr>
        <w:snapToGrid w:val="0"/>
        <w:spacing w:line="400" w:lineRule="exact"/>
        <w:ind w:firstLine="420" w:firstLineChars="200"/>
        <w:jc w:val="left"/>
        <w:rPr>
          <w:rFonts w:hint="eastAsia"/>
          <w:highlight w:val="none"/>
        </w:rPr>
      </w:pPr>
      <w:r>
        <w:rPr>
          <w:rFonts w:hint="eastAsia" w:ascii="宋体" w:hAnsi="宋体"/>
          <w:szCs w:val="21"/>
          <w:highlight w:val="none"/>
        </w:rPr>
        <w:t>（4）甲方不得以行政区划调整、政府换届、机构或者职能调整以及相关责任人更替为由中止合同。</w:t>
      </w:r>
    </w:p>
    <w:p w14:paraId="5EB71F16">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14:paraId="093FDC1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（1）合同因有效期限届满而终止；</w:t>
      </w:r>
    </w:p>
    <w:p w14:paraId="714EFEC7">
      <w:pPr>
        <w:snapToGrid w:val="0"/>
        <w:spacing w:line="400" w:lineRule="exact"/>
        <w:ind w:firstLine="420" w:firstLineChars="200"/>
        <w:rPr>
          <w:rFonts w:hint="eastAsia"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75062C39">
      <w:pPr>
        <w:pStyle w:val="17"/>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14:paraId="4F111362">
      <w:pPr>
        <w:pStyle w:val="17"/>
        <w:ind w:firstLine="420"/>
        <w:jc w:val="both"/>
        <w:rPr>
          <w:rFonts w:hint="eastAsia"/>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496DB76D">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17. 合同分包</w:t>
      </w:r>
    </w:p>
    <w:p w14:paraId="0E793CE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728B5C3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78F32F1A">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18. 不可抗力</w:t>
      </w:r>
    </w:p>
    <w:p w14:paraId="6AC5903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18.1 不可抗力是指合同双方不能预见、不能避免且不能克服的客观情况。</w:t>
      </w:r>
    </w:p>
    <w:p w14:paraId="096C9F4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7A31098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19. 解决争议的方法</w:t>
      </w:r>
    </w:p>
    <w:p w14:paraId="11BDE136">
      <w:pPr>
        <w:pStyle w:val="17"/>
        <w:ind w:firstLine="420"/>
        <w:jc w:val="both"/>
        <w:rPr>
          <w:rFonts w:hint="eastAsia"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281B185">
      <w:pPr>
        <w:pStyle w:val="17"/>
        <w:ind w:firstLine="420"/>
        <w:jc w:val="both"/>
        <w:rPr>
          <w:rFonts w:hint="eastAsia"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48825937">
      <w:pPr>
        <w:pStyle w:val="17"/>
        <w:ind w:firstLine="420"/>
        <w:jc w:val="both"/>
        <w:rPr>
          <w:rFonts w:hint="eastAsia"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0C92D042">
      <w:pPr>
        <w:autoSpaceDE w:val="0"/>
        <w:autoSpaceDN w:val="0"/>
        <w:adjustRightInd w:val="0"/>
        <w:snapToGrid w:val="0"/>
        <w:spacing w:line="400" w:lineRule="exact"/>
        <w:jc w:val="left"/>
        <w:rPr>
          <w:rFonts w:hint="eastAsia" w:ascii="宋体" w:hAnsi="宋体"/>
          <w:sz w:val="24"/>
          <w:highlight w:val="none"/>
        </w:rPr>
      </w:pPr>
      <w:r>
        <w:rPr>
          <w:rFonts w:hint="eastAsia" w:ascii="宋体" w:hAnsi="宋体"/>
          <w:b/>
          <w:sz w:val="24"/>
          <w:highlight w:val="none"/>
        </w:rPr>
        <w:t>20. 政府采购政策</w:t>
      </w:r>
    </w:p>
    <w:p w14:paraId="497FDF1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14:paraId="7076A7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79876CC1">
      <w:pPr>
        <w:pStyle w:val="4"/>
        <w:spacing w:after="0" w:line="400" w:lineRule="exact"/>
        <w:ind w:firstLine="420" w:firstLineChars="200"/>
        <w:rPr>
          <w:rFonts w:hint="eastAsia"/>
          <w:highlight w:val="none"/>
        </w:rPr>
      </w:pPr>
      <w:r>
        <w:rPr>
          <w:rFonts w:hint="eastAsia" w:ascii="宋体" w:hAnsi="宋体"/>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46DF6C">
      <w:p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21. 法律适用</w:t>
      </w:r>
    </w:p>
    <w:p w14:paraId="109ABB3D">
      <w:pPr>
        <w:pStyle w:val="17"/>
        <w:ind w:firstLine="420"/>
        <w:jc w:val="both"/>
        <w:rPr>
          <w:rFonts w:hint="eastAsia"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4A5D1BDC">
      <w:pPr>
        <w:pStyle w:val="17"/>
        <w:ind w:firstLine="420"/>
        <w:jc w:val="both"/>
        <w:rPr>
          <w:rFonts w:hint="eastAsia"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14:paraId="629278AB">
      <w:p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22. 通知</w:t>
      </w:r>
    </w:p>
    <w:p w14:paraId="6CFB426B">
      <w:pPr>
        <w:pStyle w:val="17"/>
        <w:ind w:firstLine="420"/>
        <w:jc w:val="both"/>
        <w:rPr>
          <w:rFonts w:hint="eastAsia"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32FB8307">
      <w:pPr>
        <w:pStyle w:val="17"/>
        <w:ind w:firstLine="0" w:firstLineChars="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06802CD3">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7E567F4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4A393EC6">
      <w:pPr>
        <w:numPr>
          <w:ilvl w:val="0"/>
          <w:numId w:val="8"/>
        </w:num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合同未尽事项</w:t>
      </w:r>
    </w:p>
    <w:p w14:paraId="046D3443">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36C09D36">
      <w:pPr>
        <w:adjustRightInd w:val="0"/>
        <w:snapToGrid w:val="0"/>
        <w:spacing w:line="400" w:lineRule="exact"/>
        <w:jc w:val="lef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p>
    <w:p w14:paraId="3DFA02A6">
      <w:pPr>
        <w:keepNext/>
        <w:keepLines/>
        <w:spacing w:line="360" w:lineRule="auto"/>
        <w:jc w:val="center"/>
        <w:outlineLvl w:val="1"/>
        <w:rPr>
          <w:rFonts w:ascii="黑体" w:hAnsi="华文中宋" w:eastAsia="黑体"/>
          <w:sz w:val="24"/>
          <w:highlight w:val="none"/>
        </w:rPr>
      </w:pPr>
      <w:r>
        <w:rPr>
          <w:rFonts w:hint="eastAsia" w:ascii="黑体" w:hAnsi="华文中宋" w:eastAsia="黑体"/>
          <w:sz w:val="24"/>
          <w:highlight w:val="none"/>
        </w:rPr>
        <w:br w:type="page" w:clear="all"/>
      </w:r>
    </w:p>
    <w:p w14:paraId="4C0B0EC1">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93"/>
    </w:p>
    <w:tbl>
      <w:tblPr>
        <w:tblStyle w:val="9"/>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2A85E4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9EADDFC">
            <w:pPr>
              <w:jc w:val="center"/>
              <w:rPr>
                <w:rFonts w:ascii="宋体" w:hAnsi="宋体"/>
                <w:color w:val="auto"/>
                <w:sz w:val="24"/>
                <w:highlight w:val="none"/>
              </w:rPr>
            </w:pPr>
            <w:r>
              <w:rPr>
                <w:rFonts w:hint="eastAsia" w:ascii="宋体" w:hAnsi="宋体"/>
                <w:color w:val="auto"/>
                <w:sz w:val="24"/>
                <w:highlight w:val="none"/>
              </w:rPr>
              <w:t>第二节</w:t>
            </w:r>
          </w:p>
          <w:p w14:paraId="0B4BCFE8">
            <w:pPr>
              <w:jc w:val="center"/>
              <w:rPr>
                <w:rFonts w:ascii="宋体" w:hAnsi="宋体"/>
                <w:color w:val="auto"/>
                <w:sz w:val="24"/>
                <w:highlight w:val="none"/>
              </w:rPr>
            </w:pPr>
            <w:r>
              <w:rPr>
                <w:rFonts w:hint="eastAsia" w:ascii="宋体" w:hAnsi="宋体"/>
                <w:color w:val="auto"/>
                <w:sz w:val="24"/>
                <w:highlight w:val="none"/>
              </w:rPr>
              <w:t>第1.2（6）项</w:t>
            </w:r>
          </w:p>
        </w:tc>
        <w:tc>
          <w:tcPr>
            <w:tcW w:w="1789" w:type="dxa"/>
            <w:vAlign w:val="center"/>
          </w:tcPr>
          <w:p w14:paraId="0E2BBED2">
            <w:pPr>
              <w:jc w:val="left"/>
              <w:rPr>
                <w:rFonts w:ascii="宋体" w:hAnsi="宋体"/>
                <w:color w:val="auto"/>
                <w:sz w:val="24"/>
                <w:highlight w:val="none"/>
              </w:rPr>
            </w:pPr>
            <w:r>
              <w:rPr>
                <w:rFonts w:hint="eastAsia" w:ascii="宋体" w:hAnsi="宋体"/>
                <w:color w:val="auto"/>
                <w:sz w:val="24"/>
                <w:highlight w:val="none"/>
              </w:rPr>
              <w:t>联合体具体要求</w:t>
            </w:r>
          </w:p>
        </w:tc>
        <w:tc>
          <w:tcPr>
            <w:tcW w:w="5170" w:type="dxa"/>
            <w:vAlign w:val="center"/>
          </w:tcPr>
          <w:p w14:paraId="6D9F2873">
            <w:pPr>
              <w:jc w:val="left"/>
              <w:rPr>
                <w:rFonts w:ascii="宋体" w:hAnsi="宋体"/>
                <w:color w:val="auto"/>
                <w:sz w:val="24"/>
                <w:highlight w:val="none"/>
              </w:rPr>
            </w:pPr>
          </w:p>
        </w:tc>
      </w:tr>
      <w:tr w14:paraId="0A5938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vAlign w:val="center"/>
          </w:tcPr>
          <w:p w14:paraId="7D286AD7">
            <w:pPr>
              <w:jc w:val="center"/>
              <w:rPr>
                <w:rFonts w:ascii="宋体" w:hAnsi="宋体"/>
                <w:color w:val="auto"/>
                <w:sz w:val="24"/>
                <w:highlight w:val="none"/>
              </w:rPr>
            </w:pPr>
            <w:r>
              <w:rPr>
                <w:rFonts w:hint="eastAsia" w:ascii="宋体" w:hAnsi="宋体"/>
                <w:color w:val="auto"/>
                <w:sz w:val="24"/>
                <w:highlight w:val="none"/>
              </w:rPr>
              <w:t>第二节</w:t>
            </w:r>
          </w:p>
          <w:p w14:paraId="063D45B1">
            <w:pPr>
              <w:jc w:val="center"/>
              <w:rPr>
                <w:rFonts w:ascii="宋体" w:hAnsi="宋体"/>
                <w:color w:val="auto"/>
                <w:sz w:val="24"/>
                <w:highlight w:val="none"/>
              </w:rPr>
            </w:pPr>
            <w:r>
              <w:rPr>
                <w:rFonts w:hint="eastAsia" w:ascii="宋体" w:hAnsi="宋体"/>
                <w:color w:val="auto"/>
                <w:sz w:val="24"/>
                <w:highlight w:val="none"/>
              </w:rPr>
              <w:t>第1.2（7）项</w:t>
            </w:r>
          </w:p>
        </w:tc>
        <w:tc>
          <w:tcPr>
            <w:tcW w:w="1789" w:type="dxa"/>
            <w:vAlign w:val="center"/>
          </w:tcPr>
          <w:p w14:paraId="3FAAA06A">
            <w:pPr>
              <w:jc w:val="left"/>
              <w:rPr>
                <w:rFonts w:ascii="宋体" w:hAnsi="宋体"/>
                <w:color w:val="auto"/>
                <w:sz w:val="24"/>
                <w:highlight w:val="none"/>
              </w:rPr>
            </w:pPr>
            <w:r>
              <w:rPr>
                <w:rFonts w:hint="eastAsia" w:ascii="宋体" w:hAnsi="宋体"/>
                <w:color w:val="auto"/>
                <w:sz w:val="24"/>
                <w:highlight w:val="none"/>
              </w:rPr>
              <w:t>其他术语解释</w:t>
            </w:r>
          </w:p>
        </w:tc>
        <w:tc>
          <w:tcPr>
            <w:tcW w:w="5170" w:type="dxa"/>
            <w:vAlign w:val="center"/>
          </w:tcPr>
          <w:p w14:paraId="76E431F9">
            <w:pPr>
              <w:jc w:val="left"/>
              <w:rPr>
                <w:rFonts w:ascii="宋体" w:hAnsi="宋体"/>
                <w:color w:val="auto"/>
                <w:sz w:val="24"/>
                <w:highlight w:val="none"/>
              </w:rPr>
            </w:pPr>
          </w:p>
        </w:tc>
      </w:tr>
      <w:tr w14:paraId="54DD36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EE2C001">
            <w:pPr>
              <w:jc w:val="center"/>
              <w:rPr>
                <w:rFonts w:ascii="宋体" w:hAnsi="宋体"/>
                <w:color w:val="auto"/>
                <w:sz w:val="24"/>
                <w:highlight w:val="none"/>
              </w:rPr>
            </w:pPr>
            <w:r>
              <w:rPr>
                <w:rFonts w:hint="eastAsia" w:ascii="宋体" w:hAnsi="宋体"/>
                <w:color w:val="auto"/>
                <w:sz w:val="24"/>
                <w:highlight w:val="none"/>
              </w:rPr>
              <w:t>第二节</w:t>
            </w:r>
          </w:p>
          <w:p w14:paraId="7ED3EC04">
            <w:pPr>
              <w:jc w:val="center"/>
              <w:rPr>
                <w:rFonts w:ascii="宋体" w:hAnsi="宋体"/>
                <w:color w:val="auto"/>
                <w:sz w:val="24"/>
                <w:highlight w:val="none"/>
              </w:rPr>
            </w:pPr>
            <w:r>
              <w:rPr>
                <w:rFonts w:hint="eastAsia" w:ascii="宋体" w:hAnsi="宋体"/>
                <w:color w:val="auto"/>
                <w:sz w:val="24"/>
                <w:highlight w:val="none"/>
              </w:rPr>
              <w:t>第4.4款</w:t>
            </w:r>
          </w:p>
        </w:tc>
        <w:tc>
          <w:tcPr>
            <w:tcW w:w="1789" w:type="dxa"/>
            <w:vAlign w:val="center"/>
          </w:tcPr>
          <w:p w14:paraId="25E6A1A8">
            <w:pPr>
              <w:jc w:val="left"/>
              <w:rPr>
                <w:rFonts w:ascii="宋体" w:hAnsi="宋体"/>
                <w:color w:val="auto"/>
                <w:sz w:val="24"/>
                <w:highlight w:val="none"/>
              </w:rPr>
            </w:pPr>
            <w:r>
              <w:rPr>
                <w:rFonts w:hint="eastAsia" w:ascii="宋体" w:hAnsi="宋体"/>
                <w:color w:val="auto"/>
                <w:sz w:val="24"/>
                <w:highlight w:val="none"/>
              </w:rPr>
              <w:t>履约验收中甲方提出异议或作出说明的期限</w:t>
            </w:r>
          </w:p>
        </w:tc>
        <w:tc>
          <w:tcPr>
            <w:tcW w:w="5170" w:type="dxa"/>
            <w:vAlign w:val="center"/>
          </w:tcPr>
          <w:p w14:paraId="6F6DBF4D">
            <w:pPr>
              <w:jc w:val="left"/>
              <w:rPr>
                <w:rFonts w:ascii="宋体" w:hAnsi="宋体"/>
                <w:color w:val="auto"/>
                <w:sz w:val="24"/>
                <w:highlight w:val="none"/>
              </w:rPr>
            </w:pPr>
          </w:p>
        </w:tc>
      </w:tr>
      <w:tr w14:paraId="777593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5FB9D7B">
            <w:pPr>
              <w:jc w:val="center"/>
              <w:rPr>
                <w:rFonts w:ascii="宋体" w:hAnsi="宋体"/>
                <w:color w:val="auto"/>
                <w:sz w:val="24"/>
                <w:highlight w:val="none"/>
              </w:rPr>
            </w:pPr>
            <w:r>
              <w:rPr>
                <w:rFonts w:hint="eastAsia" w:ascii="宋体" w:hAnsi="宋体"/>
                <w:color w:val="auto"/>
                <w:sz w:val="24"/>
                <w:highlight w:val="none"/>
              </w:rPr>
              <w:t>第二节</w:t>
            </w:r>
          </w:p>
          <w:p w14:paraId="7BDD8D8D">
            <w:pPr>
              <w:jc w:val="center"/>
              <w:rPr>
                <w:rFonts w:ascii="宋体" w:hAnsi="宋体"/>
                <w:color w:val="auto"/>
                <w:sz w:val="24"/>
                <w:highlight w:val="none"/>
              </w:rPr>
            </w:pPr>
            <w:r>
              <w:rPr>
                <w:rFonts w:hint="eastAsia" w:ascii="宋体" w:hAnsi="宋体"/>
                <w:color w:val="auto"/>
                <w:sz w:val="24"/>
                <w:highlight w:val="none"/>
              </w:rPr>
              <w:t>第4.6款</w:t>
            </w:r>
          </w:p>
        </w:tc>
        <w:tc>
          <w:tcPr>
            <w:tcW w:w="1789" w:type="dxa"/>
            <w:vAlign w:val="center"/>
          </w:tcPr>
          <w:p w14:paraId="14C64E91">
            <w:pPr>
              <w:jc w:val="left"/>
              <w:rPr>
                <w:rFonts w:ascii="宋体" w:hAnsi="宋体"/>
                <w:color w:val="auto"/>
                <w:sz w:val="24"/>
                <w:highlight w:val="none"/>
              </w:rPr>
            </w:pPr>
            <w:r>
              <w:rPr>
                <w:rFonts w:hint="eastAsia" w:ascii="宋体" w:hAnsi="宋体"/>
                <w:color w:val="auto"/>
                <w:sz w:val="24"/>
                <w:highlight w:val="none"/>
              </w:rPr>
              <w:t>约定甲方承担的其他义务和责任</w:t>
            </w:r>
          </w:p>
        </w:tc>
        <w:tc>
          <w:tcPr>
            <w:tcW w:w="5170" w:type="dxa"/>
            <w:vAlign w:val="center"/>
          </w:tcPr>
          <w:p w14:paraId="663821C3">
            <w:pPr>
              <w:jc w:val="left"/>
              <w:rPr>
                <w:rFonts w:ascii="宋体" w:hAnsi="宋体"/>
                <w:color w:val="auto"/>
                <w:sz w:val="24"/>
                <w:highlight w:val="none"/>
              </w:rPr>
            </w:pPr>
          </w:p>
        </w:tc>
      </w:tr>
      <w:tr w14:paraId="207B24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3DB730B">
            <w:pPr>
              <w:jc w:val="center"/>
              <w:rPr>
                <w:rFonts w:ascii="宋体" w:hAnsi="宋体"/>
                <w:color w:val="auto"/>
                <w:sz w:val="24"/>
                <w:highlight w:val="none"/>
              </w:rPr>
            </w:pPr>
            <w:r>
              <w:rPr>
                <w:rFonts w:hint="eastAsia" w:ascii="宋体" w:hAnsi="宋体"/>
                <w:color w:val="auto"/>
                <w:sz w:val="24"/>
                <w:highlight w:val="none"/>
              </w:rPr>
              <w:t>第二节</w:t>
            </w:r>
          </w:p>
          <w:p w14:paraId="092D9B6C">
            <w:pPr>
              <w:jc w:val="center"/>
              <w:rPr>
                <w:color w:val="auto"/>
                <w:sz w:val="24"/>
                <w:highlight w:val="none"/>
              </w:rPr>
            </w:pPr>
            <w:r>
              <w:rPr>
                <w:rFonts w:hint="eastAsia" w:ascii="宋体" w:hAnsi="宋体"/>
                <w:color w:val="auto"/>
                <w:sz w:val="24"/>
                <w:highlight w:val="none"/>
              </w:rPr>
              <w:t>第5.4款</w:t>
            </w:r>
          </w:p>
        </w:tc>
        <w:tc>
          <w:tcPr>
            <w:tcW w:w="1789" w:type="dxa"/>
            <w:vAlign w:val="center"/>
          </w:tcPr>
          <w:p w14:paraId="361FD590">
            <w:pPr>
              <w:jc w:val="left"/>
              <w:rPr>
                <w:rFonts w:ascii="宋体" w:hAnsi="宋体"/>
                <w:color w:val="auto"/>
                <w:sz w:val="24"/>
                <w:highlight w:val="none"/>
              </w:rPr>
            </w:pPr>
            <w:r>
              <w:rPr>
                <w:rFonts w:hint="eastAsia" w:ascii="宋体" w:hAnsi="宋体"/>
                <w:color w:val="auto"/>
                <w:sz w:val="24"/>
                <w:highlight w:val="none"/>
              </w:rPr>
              <w:t>约定乙方承担的其他义务和责任</w:t>
            </w:r>
          </w:p>
        </w:tc>
        <w:tc>
          <w:tcPr>
            <w:tcW w:w="5170" w:type="dxa"/>
            <w:vAlign w:val="center"/>
          </w:tcPr>
          <w:p w14:paraId="3D29690E">
            <w:pPr>
              <w:jc w:val="left"/>
              <w:rPr>
                <w:rFonts w:ascii="宋体" w:hAnsi="宋体"/>
                <w:color w:val="auto"/>
                <w:sz w:val="24"/>
                <w:highlight w:val="none"/>
              </w:rPr>
            </w:pPr>
          </w:p>
        </w:tc>
      </w:tr>
      <w:tr w14:paraId="6A9A98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1DE64B8">
            <w:pPr>
              <w:jc w:val="center"/>
              <w:rPr>
                <w:rFonts w:ascii="宋体" w:hAnsi="宋体"/>
                <w:color w:val="auto"/>
                <w:sz w:val="24"/>
                <w:highlight w:val="none"/>
              </w:rPr>
            </w:pPr>
            <w:r>
              <w:rPr>
                <w:rFonts w:hint="eastAsia" w:ascii="宋体" w:hAnsi="宋体"/>
                <w:color w:val="auto"/>
                <w:sz w:val="24"/>
                <w:highlight w:val="none"/>
              </w:rPr>
              <w:t>第二节</w:t>
            </w:r>
          </w:p>
          <w:p w14:paraId="33C73054">
            <w:pPr>
              <w:jc w:val="center"/>
              <w:rPr>
                <w:rFonts w:ascii="宋体" w:hAnsi="宋体"/>
                <w:color w:val="auto"/>
                <w:sz w:val="24"/>
                <w:highlight w:val="none"/>
              </w:rPr>
            </w:pPr>
            <w:r>
              <w:rPr>
                <w:rFonts w:hint="eastAsia" w:ascii="宋体" w:hAnsi="宋体"/>
                <w:color w:val="auto"/>
                <w:sz w:val="24"/>
                <w:highlight w:val="none"/>
              </w:rPr>
              <w:t>第6.1款</w:t>
            </w:r>
          </w:p>
        </w:tc>
        <w:tc>
          <w:tcPr>
            <w:tcW w:w="1789" w:type="dxa"/>
            <w:vAlign w:val="center"/>
          </w:tcPr>
          <w:p w14:paraId="393E3A57">
            <w:pPr>
              <w:jc w:val="left"/>
              <w:rPr>
                <w:rFonts w:ascii="宋体" w:hAnsi="宋体"/>
                <w:color w:val="auto"/>
                <w:sz w:val="24"/>
                <w:highlight w:val="none"/>
              </w:rPr>
            </w:pPr>
            <w:r>
              <w:rPr>
                <w:rFonts w:hint="eastAsia" w:ascii="宋体" w:hAnsi="宋体"/>
                <w:color w:val="auto"/>
                <w:sz w:val="24"/>
                <w:highlight w:val="none"/>
              </w:rPr>
              <w:t>履行合同义务的顺序</w:t>
            </w:r>
          </w:p>
        </w:tc>
        <w:tc>
          <w:tcPr>
            <w:tcW w:w="5170" w:type="dxa"/>
            <w:vAlign w:val="center"/>
          </w:tcPr>
          <w:p w14:paraId="3E0359AF">
            <w:pPr>
              <w:jc w:val="left"/>
              <w:rPr>
                <w:rFonts w:ascii="宋体" w:hAnsi="宋体"/>
                <w:color w:val="auto"/>
                <w:sz w:val="24"/>
                <w:highlight w:val="none"/>
              </w:rPr>
            </w:pPr>
          </w:p>
        </w:tc>
      </w:tr>
      <w:tr w14:paraId="17C6BF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134" w:hRule="atLeast"/>
        </w:trPr>
        <w:tc>
          <w:tcPr>
            <w:tcW w:w="1560" w:type="dxa"/>
            <w:vMerge w:val="restart"/>
            <w:vAlign w:val="center"/>
          </w:tcPr>
          <w:p w14:paraId="547991D3">
            <w:pPr>
              <w:jc w:val="center"/>
              <w:rPr>
                <w:rFonts w:ascii="宋体" w:hAnsi="宋体"/>
                <w:color w:val="auto"/>
                <w:sz w:val="24"/>
                <w:highlight w:val="none"/>
              </w:rPr>
            </w:pPr>
            <w:r>
              <w:rPr>
                <w:rFonts w:hint="eastAsia" w:ascii="宋体" w:hAnsi="宋体"/>
                <w:color w:val="auto"/>
                <w:sz w:val="24"/>
                <w:highlight w:val="none"/>
              </w:rPr>
              <w:t>第二节</w:t>
            </w:r>
          </w:p>
          <w:p w14:paraId="76D3B9DD">
            <w:pPr>
              <w:jc w:val="center"/>
              <w:rPr>
                <w:rFonts w:ascii="宋体" w:hAnsi="宋体"/>
                <w:color w:val="auto"/>
                <w:sz w:val="24"/>
                <w:highlight w:val="none"/>
              </w:rPr>
            </w:pPr>
            <w:r>
              <w:rPr>
                <w:rFonts w:hint="eastAsia" w:ascii="宋体" w:hAnsi="宋体"/>
                <w:color w:val="auto"/>
                <w:sz w:val="24"/>
                <w:highlight w:val="none"/>
              </w:rPr>
              <w:t>第7.1款</w:t>
            </w:r>
          </w:p>
        </w:tc>
        <w:tc>
          <w:tcPr>
            <w:tcW w:w="1789" w:type="dxa"/>
            <w:vAlign w:val="center"/>
          </w:tcPr>
          <w:p w14:paraId="495BB5DC">
            <w:pPr>
              <w:jc w:val="left"/>
              <w:rPr>
                <w:rFonts w:ascii="宋体" w:hAnsi="宋体"/>
                <w:color w:val="auto"/>
                <w:sz w:val="24"/>
                <w:highlight w:val="none"/>
              </w:rPr>
            </w:pPr>
            <w:r>
              <w:rPr>
                <w:rFonts w:hint="eastAsia" w:ascii="宋体" w:hAnsi="宋体"/>
                <w:color w:val="auto"/>
                <w:sz w:val="24"/>
                <w:highlight w:val="none"/>
              </w:rPr>
              <w:t>包装特殊要求</w:t>
            </w:r>
          </w:p>
        </w:tc>
        <w:tc>
          <w:tcPr>
            <w:tcW w:w="5170" w:type="dxa"/>
            <w:vAlign w:val="center"/>
          </w:tcPr>
          <w:p w14:paraId="74101E3E">
            <w:pPr>
              <w:rPr>
                <w:color w:val="auto"/>
                <w:sz w:val="24"/>
                <w:highlight w:val="none"/>
              </w:rPr>
            </w:pPr>
            <w:r>
              <w:rPr>
                <w:rFonts w:hint="eastAsia"/>
                <w:color w:val="auto"/>
                <w:sz w:val="24"/>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C196721">
            <w:pPr>
              <w:rPr>
                <w:color w:val="auto"/>
                <w:sz w:val="24"/>
                <w:highlight w:val="none"/>
              </w:rPr>
            </w:pPr>
            <w:r>
              <w:rPr>
                <w:rFonts w:hint="eastAsia"/>
                <w:color w:val="auto"/>
                <w:sz w:val="24"/>
                <w:highlight w:val="none"/>
              </w:rPr>
              <w:t>1.商品包装层数不得超过3 层，空隙率不大于40%；</w:t>
            </w:r>
          </w:p>
          <w:p w14:paraId="387738A3">
            <w:pPr>
              <w:rPr>
                <w:color w:val="auto"/>
                <w:sz w:val="24"/>
                <w:highlight w:val="none"/>
              </w:rPr>
            </w:pPr>
            <w:r>
              <w:rPr>
                <w:rFonts w:hint="eastAsia"/>
                <w:color w:val="auto"/>
                <w:sz w:val="24"/>
                <w:highlight w:val="none"/>
              </w:rPr>
              <w:t>2.商品包装尽可能使用单一材质的包装材料，如因功能需求必需使用不同材质，不同材质间应便于分离；</w:t>
            </w:r>
          </w:p>
          <w:p w14:paraId="6477CD4B">
            <w:pPr>
              <w:rPr>
                <w:color w:val="auto"/>
                <w:sz w:val="24"/>
                <w:highlight w:val="none"/>
              </w:rPr>
            </w:pPr>
            <w:r>
              <w:rPr>
                <w:rFonts w:hint="eastAsia"/>
                <w:color w:val="auto"/>
                <w:sz w:val="24"/>
                <w:highlight w:val="none"/>
              </w:rPr>
              <w:t>3.商品包装中铅、汞、镉、六价铬的总含量应不大于100mg/kg；</w:t>
            </w:r>
          </w:p>
          <w:p w14:paraId="3496C316">
            <w:pPr>
              <w:rPr>
                <w:color w:val="auto"/>
                <w:sz w:val="24"/>
                <w:highlight w:val="none"/>
              </w:rPr>
            </w:pPr>
            <w:r>
              <w:rPr>
                <w:rFonts w:hint="eastAsia"/>
                <w:color w:val="auto"/>
                <w:sz w:val="24"/>
                <w:highlight w:val="none"/>
              </w:rPr>
              <w:t>4.商品包装印刷使用的油墨中挥发性有机化合物(VOCs)含量应不大于 5%（以重量计）；</w:t>
            </w:r>
          </w:p>
          <w:p w14:paraId="0EC40190">
            <w:pPr>
              <w:rPr>
                <w:color w:val="auto"/>
                <w:sz w:val="24"/>
                <w:highlight w:val="none"/>
              </w:rPr>
            </w:pPr>
            <w:r>
              <w:rPr>
                <w:rFonts w:hint="eastAsia"/>
                <w:color w:val="auto"/>
                <w:sz w:val="24"/>
                <w:highlight w:val="none"/>
              </w:rPr>
              <w:t>5.塑料材质商品包装上呈现的印刷颜色不得超过6色；</w:t>
            </w:r>
          </w:p>
          <w:p w14:paraId="595D9F1C">
            <w:pPr>
              <w:rPr>
                <w:color w:val="auto"/>
                <w:sz w:val="24"/>
                <w:highlight w:val="none"/>
              </w:rPr>
            </w:pPr>
            <w:r>
              <w:rPr>
                <w:rFonts w:hint="eastAsia"/>
                <w:color w:val="auto"/>
                <w:sz w:val="24"/>
                <w:highlight w:val="none"/>
              </w:rPr>
              <w:t>6.纸质商品包装应使用75%以上的可再生纤维原料生产；</w:t>
            </w:r>
          </w:p>
          <w:p w14:paraId="3A0CE1BA">
            <w:pPr>
              <w:rPr>
                <w:color w:val="auto"/>
                <w:sz w:val="24"/>
                <w:highlight w:val="none"/>
              </w:rPr>
            </w:pPr>
            <w:r>
              <w:rPr>
                <w:rFonts w:hint="eastAsia"/>
                <w:color w:val="auto"/>
                <w:sz w:val="24"/>
                <w:highlight w:val="none"/>
              </w:rPr>
              <w:t>7.木质商品包装的原料应来源于可持续性森林。</w:t>
            </w:r>
          </w:p>
          <w:p w14:paraId="3B890B7D">
            <w:pPr>
              <w:rPr>
                <w:color w:val="auto"/>
                <w:sz w:val="24"/>
                <w:highlight w:val="none"/>
              </w:rPr>
            </w:pPr>
            <w:r>
              <w:rPr>
                <w:rFonts w:hint="eastAsia"/>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73D33DF">
            <w:pPr>
              <w:rPr>
                <w:color w:val="auto"/>
                <w:sz w:val="24"/>
                <w:highlight w:val="none"/>
              </w:rPr>
            </w:pPr>
            <w:r>
              <w:rPr>
                <w:rFonts w:hint="eastAsia"/>
                <w:color w:val="auto"/>
                <w:sz w:val="24"/>
                <w:highlight w:val="none"/>
              </w:rPr>
              <w:t>9每件包装箱内应附一份详细装箱单和质量合格凭证。</w:t>
            </w:r>
          </w:p>
        </w:tc>
      </w:tr>
      <w:tr w14:paraId="5ECEFB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vAlign w:val="center"/>
          </w:tcPr>
          <w:p w14:paraId="11407397">
            <w:pPr>
              <w:jc w:val="center"/>
              <w:rPr>
                <w:rFonts w:ascii="宋体" w:hAnsi="宋体"/>
                <w:color w:val="auto"/>
                <w:sz w:val="24"/>
                <w:highlight w:val="none"/>
              </w:rPr>
            </w:pPr>
          </w:p>
        </w:tc>
        <w:tc>
          <w:tcPr>
            <w:tcW w:w="1789" w:type="dxa"/>
            <w:vAlign w:val="center"/>
          </w:tcPr>
          <w:p w14:paraId="75870E25">
            <w:pPr>
              <w:jc w:val="left"/>
              <w:rPr>
                <w:rFonts w:ascii="宋体" w:hAnsi="宋体"/>
                <w:color w:val="auto"/>
                <w:sz w:val="24"/>
                <w:highlight w:val="none"/>
              </w:rPr>
            </w:pPr>
            <w:r>
              <w:rPr>
                <w:rFonts w:hint="eastAsia" w:ascii="宋体" w:hAnsi="宋体"/>
                <w:color w:val="auto"/>
                <w:sz w:val="24"/>
                <w:highlight w:val="none"/>
              </w:rPr>
              <w:t>指定现场</w:t>
            </w:r>
          </w:p>
        </w:tc>
        <w:tc>
          <w:tcPr>
            <w:tcW w:w="5170" w:type="dxa"/>
            <w:vAlign w:val="center"/>
          </w:tcPr>
          <w:p w14:paraId="3C7A5F63">
            <w:pPr>
              <w:jc w:val="left"/>
              <w:rPr>
                <w:color w:val="auto"/>
                <w:sz w:val="24"/>
                <w:highlight w:val="none"/>
              </w:rPr>
            </w:pPr>
          </w:p>
        </w:tc>
      </w:tr>
      <w:tr w14:paraId="53128D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vAlign w:val="center"/>
          </w:tcPr>
          <w:p w14:paraId="3CA13BD7">
            <w:pPr>
              <w:jc w:val="center"/>
              <w:rPr>
                <w:rFonts w:ascii="宋体" w:hAnsi="宋体"/>
                <w:color w:val="auto"/>
                <w:sz w:val="24"/>
                <w:highlight w:val="none"/>
              </w:rPr>
            </w:pPr>
            <w:r>
              <w:rPr>
                <w:rFonts w:hint="eastAsia" w:ascii="宋体" w:hAnsi="宋体"/>
                <w:color w:val="auto"/>
                <w:sz w:val="24"/>
                <w:highlight w:val="none"/>
              </w:rPr>
              <w:t>第二节</w:t>
            </w:r>
          </w:p>
          <w:p w14:paraId="3FBF24C9">
            <w:pPr>
              <w:jc w:val="center"/>
              <w:rPr>
                <w:rFonts w:ascii="宋体" w:hAnsi="宋体"/>
                <w:color w:val="auto"/>
                <w:sz w:val="24"/>
                <w:highlight w:val="none"/>
              </w:rPr>
            </w:pPr>
            <w:r>
              <w:rPr>
                <w:rFonts w:hint="eastAsia" w:ascii="宋体" w:hAnsi="宋体"/>
                <w:color w:val="auto"/>
                <w:sz w:val="24"/>
                <w:highlight w:val="none"/>
              </w:rPr>
              <w:t>第7.2款</w:t>
            </w:r>
          </w:p>
        </w:tc>
        <w:tc>
          <w:tcPr>
            <w:tcW w:w="1789" w:type="dxa"/>
            <w:vAlign w:val="center"/>
          </w:tcPr>
          <w:p w14:paraId="7936F644">
            <w:pPr>
              <w:jc w:val="left"/>
              <w:rPr>
                <w:rFonts w:ascii="宋体" w:hAnsi="宋体"/>
                <w:color w:val="auto"/>
                <w:sz w:val="24"/>
                <w:highlight w:val="none"/>
              </w:rPr>
            </w:pPr>
            <w:r>
              <w:rPr>
                <w:rFonts w:hint="eastAsia" w:ascii="宋体" w:hAnsi="宋体"/>
                <w:color w:val="auto"/>
                <w:sz w:val="24"/>
                <w:highlight w:val="none"/>
              </w:rPr>
              <w:t>运输特殊要求</w:t>
            </w:r>
          </w:p>
        </w:tc>
        <w:tc>
          <w:tcPr>
            <w:tcW w:w="5170" w:type="dxa"/>
            <w:vAlign w:val="center"/>
          </w:tcPr>
          <w:p w14:paraId="1FC4FAC1">
            <w:pPr>
              <w:rPr>
                <w:color w:val="auto"/>
                <w:sz w:val="24"/>
                <w:highlight w:val="none"/>
              </w:rPr>
            </w:pPr>
            <w:r>
              <w:rPr>
                <w:rFonts w:hint="eastAsia"/>
                <w:color w:val="auto"/>
                <w:sz w:val="24"/>
                <w:highlight w:val="none"/>
              </w:rPr>
              <w:t>1.货物验收合格、交付使用并提供所需单据的日期视为交货日期。</w:t>
            </w:r>
          </w:p>
          <w:p w14:paraId="78CA1EE4">
            <w:pPr>
              <w:pStyle w:val="17"/>
              <w:ind w:firstLine="0" w:firstLineChars="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2.乙方在货物发运手续办理完毕后24小时内或货到48小时前通知甲方，以准备接货。（具体时间根据双方实际需求调整）</w:t>
            </w:r>
          </w:p>
          <w:p w14:paraId="08A617A2">
            <w:pPr>
              <w:rPr>
                <w:color w:val="auto"/>
                <w:sz w:val="24"/>
                <w:highlight w:val="none"/>
              </w:rPr>
            </w:pPr>
            <w:r>
              <w:rPr>
                <w:rFonts w:hint="eastAsia"/>
                <w:color w:val="auto"/>
                <w:sz w:val="24"/>
                <w:highlight w:val="none"/>
              </w:rPr>
              <w:t>3.乙方装运的货物不应超过合同规定的数量或重量。乙方应对超交数量或超重而产生的一切后果负责。</w:t>
            </w:r>
          </w:p>
          <w:p w14:paraId="319A00DC">
            <w:pPr>
              <w:pStyle w:val="17"/>
              <w:ind w:firstLine="0" w:firstLineChars="0"/>
              <w:rPr>
                <w:color w:val="auto"/>
                <w:highlight w:val="none"/>
              </w:rPr>
            </w:pPr>
            <w:r>
              <w:rPr>
                <w:rFonts w:hint="eastAsia" w:ascii="Times New Roman" w:hAnsi="Times New Roman" w:eastAsia="宋体" w:cs="Times New Roman"/>
                <w:color w:val="auto"/>
                <w:sz w:val="24"/>
                <w:szCs w:val="24"/>
                <w:highlight w:val="none"/>
              </w:rPr>
              <w:t>4.货物在交付甲方前发生的风险均由乙方负责。</w:t>
            </w:r>
          </w:p>
        </w:tc>
      </w:tr>
      <w:tr w14:paraId="04C02E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vAlign w:val="center"/>
          </w:tcPr>
          <w:p w14:paraId="1EF2B122">
            <w:pPr>
              <w:jc w:val="center"/>
              <w:rPr>
                <w:rFonts w:ascii="宋体" w:hAnsi="宋体"/>
                <w:color w:val="auto"/>
                <w:sz w:val="24"/>
                <w:highlight w:val="none"/>
              </w:rPr>
            </w:pPr>
            <w:r>
              <w:rPr>
                <w:rFonts w:hint="eastAsia" w:ascii="宋体" w:hAnsi="宋体"/>
                <w:color w:val="auto"/>
                <w:sz w:val="24"/>
                <w:highlight w:val="none"/>
              </w:rPr>
              <w:t>第二节</w:t>
            </w:r>
          </w:p>
          <w:p w14:paraId="46D0D0B9">
            <w:pPr>
              <w:jc w:val="center"/>
              <w:rPr>
                <w:rFonts w:ascii="宋体" w:hAnsi="宋体"/>
                <w:color w:val="auto"/>
                <w:sz w:val="24"/>
                <w:highlight w:val="none"/>
              </w:rPr>
            </w:pPr>
            <w:r>
              <w:rPr>
                <w:rFonts w:hint="eastAsia" w:ascii="宋体" w:hAnsi="宋体"/>
                <w:color w:val="auto"/>
                <w:sz w:val="24"/>
                <w:highlight w:val="none"/>
              </w:rPr>
              <w:t>第7.3款</w:t>
            </w:r>
          </w:p>
        </w:tc>
        <w:tc>
          <w:tcPr>
            <w:tcW w:w="1789" w:type="dxa"/>
            <w:vAlign w:val="center"/>
          </w:tcPr>
          <w:p w14:paraId="33FD0602">
            <w:pPr>
              <w:jc w:val="left"/>
              <w:rPr>
                <w:rFonts w:ascii="宋体" w:hAnsi="宋体"/>
                <w:color w:val="auto"/>
                <w:sz w:val="24"/>
                <w:highlight w:val="none"/>
              </w:rPr>
            </w:pPr>
            <w:r>
              <w:rPr>
                <w:rFonts w:hint="eastAsia" w:ascii="宋体" w:hAnsi="宋体"/>
                <w:color w:val="auto"/>
                <w:sz w:val="24"/>
                <w:highlight w:val="none"/>
              </w:rPr>
              <w:t>保险要求</w:t>
            </w:r>
          </w:p>
        </w:tc>
        <w:tc>
          <w:tcPr>
            <w:tcW w:w="5170" w:type="dxa"/>
            <w:vAlign w:val="center"/>
          </w:tcPr>
          <w:p w14:paraId="476F8F01">
            <w:pPr>
              <w:rPr>
                <w:color w:val="auto"/>
                <w:sz w:val="24"/>
                <w:highlight w:val="none"/>
              </w:rPr>
            </w:pPr>
            <w:r>
              <w:rPr>
                <w:color w:val="auto"/>
                <w:sz w:val="24"/>
                <w:highlight w:val="none"/>
              </w:rPr>
              <w:t>货物交货前由乙方承担保险义务</w:t>
            </w:r>
          </w:p>
        </w:tc>
      </w:tr>
      <w:tr w14:paraId="692F7E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04211BD">
            <w:pPr>
              <w:jc w:val="center"/>
              <w:rPr>
                <w:rFonts w:ascii="宋体" w:hAnsi="宋体"/>
                <w:color w:val="auto"/>
                <w:sz w:val="24"/>
                <w:highlight w:val="none"/>
              </w:rPr>
            </w:pPr>
            <w:r>
              <w:rPr>
                <w:rFonts w:hint="eastAsia" w:ascii="宋体" w:hAnsi="宋体"/>
                <w:color w:val="auto"/>
                <w:sz w:val="24"/>
                <w:highlight w:val="none"/>
              </w:rPr>
              <w:t>第二节</w:t>
            </w:r>
          </w:p>
          <w:p w14:paraId="383EE93B">
            <w:pPr>
              <w:jc w:val="center"/>
              <w:rPr>
                <w:rFonts w:ascii="宋体" w:hAnsi="宋体"/>
                <w:color w:val="auto"/>
                <w:sz w:val="24"/>
                <w:highlight w:val="none"/>
              </w:rPr>
            </w:pPr>
            <w:r>
              <w:rPr>
                <w:rFonts w:hint="eastAsia" w:ascii="宋体" w:hAnsi="宋体"/>
                <w:color w:val="auto"/>
                <w:sz w:val="24"/>
                <w:highlight w:val="none"/>
              </w:rPr>
              <w:t>第8.2（1）项</w:t>
            </w:r>
          </w:p>
        </w:tc>
        <w:tc>
          <w:tcPr>
            <w:tcW w:w="1789" w:type="dxa"/>
            <w:vAlign w:val="center"/>
          </w:tcPr>
          <w:p w14:paraId="4BE97693">
            <w:pPr>
              <w:jc w:val="left"/>
              <w:rPr>
                <w:rFonts w:ascii="宋体" w:hAnsi="宋体"/>
                <w:color w:val="auto"/>
                <w:sz w:val="24"/>
                <w:highlight w:val="none"/>
              </w:rPr>
            </w:pPr>
            <w:r>
              <w:rPr>
                <w:rFonts w:hint="eastAsia" w:ascii="宋体" w:hAnsi="宋体"/>
                <w:color w:val="auto"/>
                <w:sz w:val="24"/>
                <w:highlight w:val="none"/>
              </w:rPr>
              <w:t>质量保证期</w:t>
            </w:r>
          </w:p>
        </w:tc>
        <w:tc>
          <w:tcPr>
            <w:tcW w:w="5170" w:type="dxa"/>
            <w:vAlign w:val="center"/>
          </w:tcPr>
          <w:p w14:paraId="1FADC72D">
            <w:pPr>
              <w:pStyle w:val="8"/>
              <w:spacing w:before="120" w:beforeAutospacing="0" w:after="120" w:afterAutospacing="0"/>
              <w:ind w:left="480" w:hanging="480"/>
              <w:jc w:val="both"/>
              <w:rPr>
                <w:rFonts w:ascii="宋体" w:hAnsi="宋体"/>
                <w:color w:val="auto"/>
                <w:highlight w:val="none"/>
              </w:rPr>
            </w:pPr>
            <w:r>
              <w:rPr>
                <w:rFonts w:hint="eastAsia" w:ascii="宋体" w:hAnsi="宋体"/>
                <w:color w:val="auto"/>
                <w:highlight w:val="none"/>
              </w:rPr>
              <w:t>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w:t>
            </w:r>
            <w:r>
              <w:rPr>
                <w:rFonts w:hint="eastAsia" w:ascii="宋体" w:hAnsi="宋体"/>
                <w:color w:val="auto"/>
                <w:highlight w:val="none"/>
                <w:u w:val="single"/>
              </w:rPr>
              <w:t xml:space="preserve"> 年</w:t>
            </w:r>
            <w:r>
              <w:rPr>
                <w:rFonts w:hint="eastAsia" w:ascii="宋体" w:hAnsi="宋体"/>
                <w:color w:val="auto"/>
                <w:highlight w:val="none"/>
              </w:rPr>
              <w:t>。（</w:t>
            </w:r>
            <w:r>
              <w:rPr>
                <w:rFonts w:hint="eastAsia" w:ascii="宋体" w:hAnsi="宋体" w:cs="宋体"/>
                <w:color w:val="auto"/>
                <w:highlight w:val="none"/>
              </w:rPr>
              <w:t>自交货验收合格之日起计），因人为因素出现的故障不在免费保修范围内。超过保修期的机器设备，</w:t>
            </w:r>
            <w:r>
              <w:rPr>
                <w:rFonts w:hint="eastAsia" w:ascii="宋体" w:hAnsi="宋体" w:cs="宋体"/>
                <w:color w:val="auto"/>
                <w:highlight w:val="none"/>
                <w:lang w:eastAsia="zh-CN"/>
              </w:rPr>
              <w:t>终身维修</w:t>
            </w:r>
            <w:r>
              <w:rPr>
                <w:rFonts w:hint="eastAsia" w:ascii="宋体" w:hAnsi="宋体" w:cs="宋体"/>
                <w:color w:val="auto"/>
                <w:highlight w:val="none"/>
              </w:rPr>
              <w:t>，维修时只收部件成本费。</w:t>
            </w:r>
          </w:p>
        </w:tc>
      </w:tr>
      <w:tr w14:paraId="1E124A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885F93D">
            <w:pPr>
              <w:jc w:val="center"/>
              <w:rPr>
                <w:rFonts w:ascii="宋体" w:hAnsi="宋体"/>
                <w:color w:val="auto"/>
                <w:sz w:val="24"/>
                <w:highlight w:val="none"/>
              </w:rPr>
            </w:pPr>
            <w:r>
              <w:rPr>
                <w:rFonts w:hint="eastAsia" w:ascii="宋体" w:hAnsi="宋体"/>
                <w:color w:val="auto"/>
                <w:sz w:val="24"/>
                <w:highlight w:val="none"/>
              </w:rPr>
              <w:t>第二节</w:t>
            </w:r>
          </w:p>
          <w:p w14:paraId="04C0F63F">
            <w:pPr>
              <w:jc w:val="center"/>
              <w:rPr>
                <w:rFonts w:ascii="宋体" w:hAnsi="宋体"/>
                <w:color w:val="auto"/>
                <w:sz w:val="24"/>
                <w:highlight w:val="none"/>
              </w:rPr>
            </w:pPr>
            <w:r>
              <w:rPr>
                <w:rFonts w:hint="eastAsia" w:ascii="宋体" w:hAnsi="宋体"/>
                <w:color w:val="auto"/>
                <w:sz w:val="24"/>
                <w:highlight w:val="none"/>
              </w:rPr>
              <w:t>第8.2（3）项</w:t>
            </w:r>
          </w:p>
        </w:tc>
        <w:tc>
          <w:tcPr>
            <w:tcW w:w="1789" w:type="dxa"/>
            <w:vAlign w:val="center"/>
          </w:tcPr>
          <w:p w14:paraId="42CE12CC">
            <w:pPr>
              <w:jc w:val="left"/>
              <w:rPr>
                <w:rFonts w:ascii="宋体" w:hAnsi="宋体"/>
                <w:color w:val="auto"/>
                <w:sz w:val="24"/>
                <w:highlight w:val="none"/>
              </w:rPr>
            </w:pPr>
            <w:r>
              <w:rPr>
                <w:rFonts w:hint="eastAsia" w:ascii="宋体" w:hAnsi="宋体"/>
                <w:color w:val="auto"/>
                <w:sz w:val="24"/>
                <w:highlight w:val="none"/>
              </w:rPr>
              <w:t>货物质量缺陷</w:t>
            </w:r>
          </w:p>
          <w:p w14:paraId="7F5F11D3">
            <w:pPr>
              <w:jc w:val="left"/>
              <w:rPr>
                <w:rFonts w:ascii="宋体" w:hAnsi="宋体"/>
                <w:color w:val="auto"/>
                <w:sz w:val="24"/>
                <w:highlight w:val="none"/>
              </w:rPr>
            </w:pPr>
            <w:r>
              <w:rPr>
                <w:rFonts w:hint="eastAsia" w:ascii="宋体" w:hAnsi="宋体"/>
                <w:color w:val="auto"/>
                <w:sz w:val="24"/>
                <w:highlight w:val="none"/>
              </w:rPr>
              <w:t>响应时间</w:t>
            </w:r>
          </w:p>
        </w:tc>
        <w:tc>
          <w:tcPr>
            <w:tcW w:w="5170" w:type="dxa"/>
            <w:vAlign w:val="center"/>
          </w:tcPr>
          <w:p w14:paraId="3F9EED50">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u w:val="single"/>
              </w:rPr>
              <w:t>_</w:t>
            </w:r>
            <w:r>
              <w:rPr>
                <w:rFonts w:hint="eastAsia" w:ascii="宋体" w:hAnsi="宋体"/>
                <w:color w:val="auto"/>
                <w:sz w:val="24"/>
                <w:highlight w:val="none"/>
                <w:u w:val="single"/>
                <w:lang w:val="en-US" w:eastAsia="zh-CN"/>
              </w:rPr>
              <w:t>4</w:t>
            </w:r>
            <w:r>
              <w:rPr>
                <w:rFonts w:hint="eastAsia" w:ascii="宋体" w:hAnsi="宋体"/>
                <w:color w:val="auto"/>
                <w:sz w:val="24"/>
                <w:highlight w:val="none"/>
                <w:u w:val="single"/>
              </w:rPr>
              <w:t>_</w:t>
            </w:r>
            <w:r>
              <w:rPr>
                <w:rFonts w:hint="eastAsia" w:ascii="宋体" w:hAnsi="宋体"/>
                <w:color w:val="auto"/>
                <w:sz w:val="24"/>
                <w:highlight w:val="none"/>
              </w:rPr>
              <w:t>小时内到达甲方现场。</w:t>
            </w:r>
          </w:p>
        </w:tc>
      </w:tr>
      <w:tr w14:paraId="4FBAB9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31F22A20">
            <w:pPr>
              <w:jc w:val="center"/>
              <w:rPr>
                <w:rFonts w:ascii="宋体" w:hAnsi="宋体"/>
                <w:color w:val="auto"/>
                <w:sz w:val="24"/>
                <w:highlight w:val="none"/>
              </w:rPr>
            </w:pPr>
            <w:r>
              <w:rPr>
                <w:rFonts w:hint="eastAsia" w:ascii="宋体" w:hAnsi="宋体"/>
                <w:color w:val="auto"/>
                <w:sz w:val="24"/>
                <w:highlight w:val="none"/>
              </w:rPr>
              <w:t>第二节</w:t>
            </w:r>
          </w:p>
          <w:p w14:paraId="2DBDB4F8">
            <w:pPr>
              <w:jc w:val="center"/>
              <w:rPr>
                <w:rFonts w:hint="eastAsia" w:ascii="宋体" w:hAnsi="宋体"/>
                <w:color w:val="auto"/>
                <w:sz w:val="24"/>
                <w:highlight w:val="none"/>
              </w:rPr>
            </w:pPr>
            <w:r>
              <w:rPr>
                <w:rFonts w:hint="eastAsia" w:ascii="宋体" w:hAnsi="宋体"/>
                <w:color w:val="auto"/>
                <w:sz w:val="24"/>
                <w:highlight w:val="none"/>
              </w:rPr>
              <w:t>第8款补充</w:t>
            </w:r>
          </w:p>
        </w:tc>
        <w:tc>
          <w:tcPr>
            <w:tcW w:w="1789" w:type="dxa"/>
            <w:vAlign w:val="center"/>
          </w:tcPr>
          <w:p w14:paraId="46D5EF70">
            <w:pPr>
              <w:jc w:val="left"/>
              <w:rPr>
                <w:rFonts w:hint="eastAsia" w:ascii="宋体" w:hAnsi="宋体"/>
                <w:color w:val="auto"/>
                <w:sz w:val="24"/>
                <w:highlight w:val="none"/>
              </w:rPr>
            </w:pPr>
            <w:r>
              <w:rPr>
                <w:rFonts w:hint="eastAsia" w:ascii="宋体" w:hAnsi="宋体"/>
                <w:color w:val="auto"/>
                <w:sz w:val="24"/>
                <w:highlight w:val="none"/>
              </w:rPr>
              <w:t>质量保证要求</w:t>
            </w:r>
          </w:p>
        </w:tc>
        <w:tc>
          <w:tcPr>
            <w:tcW w:w="5170" w:type="dxa"/>
            <w:vAlign w:val="center"/>
          </w:tcPr>
          <w:p w14:paraId="45CC46F8">
            <w:pPr>
              <w:jc w:val="left"/>
              <w:rPr>
                <w:rFonts w:ascii="宋体" w:hAnsi="宋体"/>
                <w:color w:val="auto"/>
                <w:sz w:val="24"/>
                <w:highlight w:val="none"/>
              </w:rPr>
            </w:pPr>
            <w:r>
              <w:rPr>
                <w:rFonts w:hint="eastAsia" w:ascii="宋体" w:hAnsi="宋体"/>
                <w:color w:val="auto"/>
                <w:sz w:val="24"/>
                <w:highlight w:val="none"/>
              </w:rPr>
              <w:t>1. 在质保期内，乙方应对货物出现的质量及安全问题负责处理解决并承担一切费用（因甲方不当使用的除外）。</w:t>
            </w:r>
          </w:p>
          <w:p w14:paraId="494108AC">
            <w:pPr>
              <w:jc w:val="left"/>
              <w:rPr>
                <w:rFonts w:ascii="宋体" w:hAnsi="宋体"/>
                <w:color w:val="auto"/>
                <w:sz w:val="24"/>
                <w:highlight w:val="none"/>
              </w:rPr>
            </w:pPr>
            <w:r>
              <w:rPr>
                <w:rFonts w:hint="eastAsia" w:ascii="宋体" w:hAnsi="宋体"/>
                <w:color w:val="auto"/>
                <w:sz w:val="24"/>
                <w:highlight w:val="none"/>
              </w:rPr>
              <w:t>2.乙方应按照国家有关法律法规规章和“三包”规定以及招标文件售后服务要求及投标文件售后服务承诺提供售后服务。</w:t>
            </w:r>
          </w:p>
          <w:p w14:paraId="7C9B7C0B">
            <w:pPr>
              <w:jc w:val="left"/>
              <w:rPr>
                <w:rFonts w:ascii="宋体" w:hAnsi="宋体"/>
                <w:color w:val="auto"/>
                <w:sz w:val="24"/>
                <w:highlight w:val="none"/>
              </w:rPr>
            </w:pPr>
            <w:r>
              <w:rPr>
                <w:rFonts w:hint="eastAsia" w:ascii="宋体" w:hAnsi="宋体"/>
                <w:color w:val="auto"/>
                <w:sz w:val="24"/>
                <w:highlight w:val="none"/>
              </w:rPr>
              <w:t>3.所有货物保修服务方式均为乙方上门保修，由乙方派员到货物使用现场维修，所产生的一切费用由乙方承担（双方视项目情况调整）。</w:t>
            </w:r>
          </w:p>
          <w:p w14:paraId="2FAB9C9F">
            <w:pPr>
              <w:jc w:val="left"/>
              <w:rPr>
                <w:rFonts w:ascii="宋体" w:hAnsi="宋体"/>
                <w:color w:val="auto"/>
                <w:sz w:val="24"/>
                <w:highlight w:val="none"/>
              </w:rPr>
            </w:pPr>
            <w:r>
              <w:rPr>
                <w:rFonts w:hint="eastAsia" w:ascii="宋体" w:hAnsi="宋体"/>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E666E17">
            <w:pPr>
              <w:jc w:val="left"/>
              <w:rPr>
                <w:rFonts w:ascii="宋体" w:hAnsi="宋体"/>
                <w:color w:val="auto"/>
                <w:sz w:val="24"/>
                <w:highlight w:val="none"/>
              </w:rPr>
            </w:pPr>
            <w:r>
              <w:rPr>
                <w:rFonts w:hint="eastAsia" w:ascii="宋体" w:hAnsi="宋体"/>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69FE9CA2">
            <w:pPr>
              <w:jc w:val="left"/>
              <w:rPr>
                <w:rFonts w:ascii="宋体" w:hAnsi="宋体"/>
                <w:color w:val="auto"/>
                <w:sz w:val="24"/>
                <w:highlight w:val="none"/>
              </w:rPr>
            </w:pPr>
            <w:r>
              <w:rPr>
                <w:rFonts w:hint="eastAsia" w:ascii="宋体" w:hAnsi="宋体"/>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pPr>
              <w:jc w:val="left"/>
              <w:rPr>
                <w:rFonts w:ascii="宋体" w:hAnsi="宋体"/>
                <w:color w:val="auto"/>
                <w:sz w:val="24"/>
                <w:highlight w:val="none"/>
              </w:rPr>
            </w:pPr>
            <w:r>
              <w:rPr>
                <w:rFonts w:hint="eastAsia" w:ascii="宋体" w:hAnsi="宋体"/>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EB5FEE1">
            <w:pPr>
              <w:pStyle w:val="8"/>
              <w:spacing w:before="120" w:beforeAutospacing="0" w:after="120" w:afterAutospacing="0"/>
              <w:ind w:left="480" w:hanging="480"/>
              <w:rPr>
                <w:rFonts w:hint="eastAsia" w:ascii="宋体" w:hAnsi="宋体"/>
                <w:color w:val="auto"/>
                <w:highlight w:val="none"/>
              </w:rPr>
            </w:pPr>
            <w:r>
              <w:rPr>
                <w:rFonts w:hint="eastAsia" w:ascii="宋体" w:hAnsi="宋体"/>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7534D3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DC35717">
            <w:pPr>
              <w:jc w:val="center"/>
              <w:rPr>
                <w:rFonts w:ascii="宋体" w:hAnsi="宋体" w:cs="宋体"/>
                <w:color w:val="auto"/>
                <w:sz w:val="24"/>
                <w:highlight w:val="none"/>
              </w:rPr>
            </w:pPr>
            <w:r>
              <w:rPr>
                <w:rFonts w:hint="eastAsia" w:ascii="宋体" w:hAnsi="宋体" w:cs="宋体"/>
                <w:color w:val="auto"/>
                <w:sz w:val="24"/>
                <w:highlight w:val="none"/>
              </w:rPr>
              <w:t>第二节</w:t>
            </w:r>
          </w:p>
          <w:p w14:paraId="51757F06">
            <w:pPr>
              <w:widowControl/>
              <w:spacing w:line="400" w:lineRule="exact"/>
              <w:jc w:val="center"/>
              <w:rPr>
                <w:rFonts w:ascii="华文楷体" w:hAnsi="华文楷体" w:eastAsia="华文楷体" w:cs="华文楷体"/>
                <w:color w:val="auto"/>
                <w:sz w:val="24"/>
                <w:highlight w:val="none"/>
              </w:rPr>
            </w:pPr>
            <w:r>
              <w:rPr>
                <w:rFonts w:hint="eastAsia" w:ascii="宋体" w:hAnsi="宋体" w:cs="宋体"/>
                <w:color w:val="auto"/>
                <w:sz w:val="24"/>
                <w:highlight w:val="none"/>
              </w:rPr>
              <w:t>第11.1款</w:t>
            </w:r>
          </w:p>
        </w:tc>
        <w:tc>
          <w:tcPr>
            <w:tcW w:w="1789" w:type="dxa"/>
            <w:vAlign w:val="center"/>
          </w:tcPr>
          <w:p w14:paraId="6D85F404">
            <w:pPr>
              <w:rPr>
                <w:rFonts w:ascii="宋体" w:hAnsi="宋体"/>
                <w:color w:val="auto"/>
                <w:sz w:val="24"/>
                <w:highlight w:val="none"/>
              </w:rPr>
            </w:pPr>
            <w:r>
              <w:rPr>
                <w:rFonts w:hint="eastAsia" w:ascii="宋体" w:hAnsi="宋体"/>
                <w:color w:val="auto"/>
                <w:sz w:val="24"/>
                <w:highlight w:val="none"/>
              </w:rPr>
              <w:t>其他应当保密的信息</w:t>
            </w:r>
          </w:p>
        </w:tc>
        <w:tc>
          <w:tcPr>
            <w:tcW w:w="5170" w:type="dxa"/>
            <w:vAlign w:val="center"/>
          </w:tcPr>
          <w:p w14:paraId="7C189016">
            <w:pPr>
              <w:jc w:val="left"/>
              <w:rPr>
                <w:rFonts w:ascii="宋体" w:hAnsi="宋体"/>
                <w:color w:val="auto"/>
                <w:sz w:val="24"/>
                <w:highlight w:val="none"/>
              </w:rPr>
            </w:pPr>
          </w:p>
        </w:tc>
      </w:tr>
      <w:tr w14:paraId="175C90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35D7CABF">
            <w:pPr>
              <w:jc w:val="center"/>
              <w:rPr>
                <w:rFonts w:ascii="宋体" w:hAnsi="宋体"/>
                <w:color w:val="auto"/>
                <w:sz w:val="24"/>
                <w:highlight w:val="none"/>
              </w:rPr>
            </w:pPr>
            <w:r>
              <w:rPr>
                <w:rFonts w:hint="eastAsia" w:ascii="宋体" w:hAnsi="宋体"/>
                <w:color w:val="auto"/>
                <w:sz w:val="24"/>
                <w:highlight w:val="none"/>
              </w:rPr>
              <w:t>第二节</w:t>
            </w:r>
          </w:p>
          <w:p w14:paraId="16A20679">
            <w:pPr>
              <w:jc w:val="center"/>
              <w:rPr>
                <w:rFonts w:ascii="宋体" w:hAnsi="宋体"/>
                <w:color w:val="auto"/>
                <w:sz w:val="24"/>
                <w:highlight w:val="none"/>
              </w:rPr>
            </w:pPr>
            <w:r>
              <w:rPr>
                <w:rFonts w:hint="eastAsia" w:ascii="宋体" w:hAnsi="宋体"/>
                <w:color w:val="auto"/>
                <w:sz w:val="24"/>
                <w:highlight w:val="none"/>
              </w:rPr>
              <w:t>第12.2款</w:t>
            </w:r>
          </w:p>
        </w:tc>
        <w:tc>
          <w:tcPr>
            <w:tcW w:w="1789" w:type="dxa"/>
            <w:vAlign w:val="center"/>
          </w:tcPr>
          <w:p w14:paraId="1139BEB9">
            <w:pPr>
              <w:jc w:val="left"/>
              <w:rPr>
                <w:rFonts w:ascii="宋体" w:hAnsi="宋体"/>
                <w:color w:val="auto"/>
                <w:sz w:val="24"/>
                <w:highlight w:val="none"/>
              </w:rPr>
            </w:pPr>
            <w:r>
              <w:rPr>
                <w:rFonts w:hint="eastAsia" w:ascii="宋体" w:hAnsi="宋体"/>
                <w:color w:val="auto"/>
                <w:sz w:val="24"/>
                <w:highlight w:val="none"/>
              </w:rPr>
              <w:t>合同价款支付时间及要求</w:t>
            </w:r>
          </w:p>
        </w:tc>
        <w:tc>
          <w:tcPr>
            <w:tcW w:w="5170" w:type="dxa"/>
            <w:vAlign w:val="center"/>
          </w:tcPr>
          <w:p w14:paraId="4BFA46F1">
            <w:pPr>
              <w:jc w:val="left"/>
              <w:rPr>
                <w:rFonts w:ascii="宋体" w:hAnsi="宋体"/>
                <w:color w:val="auto"/>
                <w:sz w:val="24"/>
                <w:highlight w:val="none"/>
              </w:rPr>
            </w:pPr>
            <w:r>
              <w:rPr>
                <w:rFonts w:hint="eastAsia" w:ascii="宋体" w:hAnsi="宋体"/>
                <w:color w:val="auto"/>
                <w:sz w:val="24"/>
                <w:highlight w:val="none"/>
              </w:rPr>
              <w:t>1.合同款项的支付方式及进度安排：</w:t>
            </w:r>
          </w:p>
          <w:p w14:paraId="15C061C2">
            <w:pPr>
              <w:jc w:val="left"/>
              <w:rPr>
                <w:rFonts w:ascii="宋体" w:hAnsi="宋体"/>
                <w:color w:val="auto"/>
                <w:sz w:val="24"/>
                <w:highlight w:val="none"/>
              </w:rPr>
            </w:pPr>
            <w:r>
              <w:rPr>
                <w:rFonts w:hint="eastAsia" w:ascii="宋体" w:hAnsi="宋体"/>
                <w:color w:val="auto"/>
                <w:sz w:val="24"/>
                <w:highlight w:val="none"/>
              </w:rPr>
              <w:t>①自合同签订生效之日起，收到乙方发票10个工作日内，甲方向乙方支付合同总价的</w:t>
            </w:r>
            <w:r>
              <w:rPr>
                <w:rFonts w:hint="eastAsia" w:ascii="宋体" w:hAnsi="宋体"/>
                <w:color w:val="auto"/>
                <w:sz w:val="24"/>
                <w:highlight w:val="none"/>
                <w:u w:val="single"/>
                <w:lang w:val="en-US" w:eastAsia="zh-CN"/>
              </w:rPr>
              <w:t xml:space="preserve"> 30% </w:t>
            </w:r>
            <w:r>
              <w:rPr>
                <w:rFonts w:hint="eastAsia" w:ascii="宋体" w:hAnsi="宋体"/>
                <w:color w:val="auto"/>
                <w:sz w:val="24"/>
                <w:highlight w:val="none"/>
              </w:rPr>
              <w:t>款项作为预付款；</w:t>
            </w:r>
          </w:p>
          <w:p w14:paraId="3BA7223F">
            <w:pPr>
              <w:jc w:val="left"/>
              <w:rPr>
                <w:rFonts w:ascii="宋体" w:hAnsi="宋体"/>
                <w:color w:val="auto"/>
                <w:sz w:val="24"/>
                <w:highlight w:val="none"/>
              </w:rPr>
            </w:pPr>
            <w:r>
              <w:rPr>
                <w:rFonts w:hint="eastAsia" w:ascii="宋体" w:hAnsi="宋体"/>
                <w:color w:val="auto"/>
                <w:sz w:val="24"/>
                <w:highlight w:val="none"/>
              </w:rPr>
              <w:t>②所有货物安装完毕，甲方组织验收，验收合格后收到乙方发票10个工作日内甲方向乙方支付至合同总价的</w:t>
            </w:r>
            <w:r>
              <w:rPr>
                <w:rFonts w:hint="eastAsia" w:ascii="宋体" w:hAnsi="宋体"/>
                <w:color w:val="auto"/>
                <w:sz w:val="24"/>
                <w:highlight w:val="none"/>
                <w:u w:val="single"/>
                <w:lang w:val="en-US" w:eastAsia="zh-CN"/>
              </w:rPr>
              <w:t xml:space="preserve"> 95% </w:t>
            </w:r>
            <w:r>
              <w:rPr>
                <w:rFonts w:hint="eastAsia" w:ascii="宋体" w:hAnsi="宋体"/>
                <w:color w:val="auto"/>
                <w:sz w:val="24"/>
                <w:highlight w:val="none"/>
              </w:rPr>
              <w:t>款项；</w:t>
            </w:r>
          </w:p>
          <w:p w14:paraId="0D819207">
            <w:pPr>
              <w:jc w:val="left"/>
              <w:rPr>
                <w:rFonts w:hint="eastAsia" w:ascii="宋体" w:hAnsi="宋体"/>
                <w:color w:val="auto"/>
                <w:sz w:val="24"/>
                <w:highlight w:val="yellow"/>
              </w:rPr>
            </w:pPr>
            <w:r>
              <w:rPr>
                <w:rFonts w:hint="eastAsia" w:ascii="宋体" w:hAnsi="宋体"/>
                <w:color w:val="auto"/>
                <w:sz w:val="24"/>
                <w:highlight w:val="yellow"/>
              </w:rPr>
              <w:t>③验收合格且项目运行满</w:t>
            </w:r>
            <w:r>
              <w:rPr>
                <w:rFonts w:hint="eastAsia" w:ascii="宋体" w:hAnsi="宋体"/>
                <w:color w:val="auto"/>
                <w:sz w:val="24"/>
                <w:highlight w:val="yellow"/>
                <w:u w:val="single"/>
                <w:lang w:val="en-US" w:eastAsia="zh-CN"/>
              </w:rPr>
              <w:t xml:space="preserve"> 12 </w:t>
            </w:r>
            <w:r>
              <w:rPr>
                <w:rFonts w:hint="eastAsia" w:ascii="宋体" w:hAnsi="宋体"/>
                <w:color w:val="auto"/>
                <w:sz w:val="24"/>
                <w:highlight w:val="yellow"/>
              </w:rPr>
              <w:t>个月后，</w:t>
            </w:r>
            <w:r>
              <w:rPr>
                <w:rFonts w:hint="eastAsia" w:ascii="宋体" w:hAnsi="宋体"/>
                <w:color w:val="auto"/>
                <w:sz w:val="24"/>
                <w:highlight w:val="yellow"/>
                <w:lang w:val="en-US" w:eastAsia="zh-CN"/>
              </w:rPr>
              <w:t>甲方</w:t>
            </w:r>
            <w:r>
              <w:rPr>
                <w:rFonts w:hint="eastAsia" w:ascii="宋体" w:hAnsi="宋体"/>
                <w:color w:val="auto"/>
                <w:sz w:val="24"/>
                <w:highlight w:val="yellow"/>
              </w:rPr>
              <w:t>收到乙方发票10个工作日内甲方付清货款。</w:t>
            </w:r>
          </w:p>
          <w:p w14:paraId="504301F9">
            <w:pPr>
              <w:jc w:val="left"/>
              <w:rPr>
                <w:color w:val="auto"/>
                <w:highlight w:val="none"/>
              </w:rPr>
            </w:pPr>
            <w:r>
              <w:rPr>
                <w:rFonts w:hint="eastAsia" w:ascii="宋体" w:hAnsi="宋体"/>
                <w:color w:val="auto"/>
                <w:sz w:val="24"/>
                <w:highlight w:val="none"/>
              </w:rPr>
              <w:t>（具体验收流程双方可视实际情况调整）</w:t>
            </w:r>
          </w:p>
          <w:p w14:paraId="4190A3A6">
            <w:pPr>
              <w:jc w:val="left"/>
              <w:rPr>
                <w:rFonts w:ascii="宋体" w:hAnsi="宋体"/>
                <w:color w:val="auto"/>
                <w:sz w:val="24"/>
                <w:highlight w:val="none"/>
              </w:rPr>
            </w:pPr>
            <w:r>
              <w:rPr>
                <w:rFonts w:hint="eastAsia" w:ascii="宋体" w:hAnsi="宋体"/>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099F9E8">
            <w:pPr>
              <w:jc w:val="left"/>
              <w:rPr>
                <w:rFonts w:ascii="宋体" w:hAnsi="宋体"/>
                <w:color w:val="auto"/>
                <w:sz w:val="24"/>
                <w:highlight w:val="none"/>
              </w:rPr>
            </w:pPr>
            <w:r>
              <w:rPr>
                <w:rFonts w:hint="eastAsia" w:ascii="宋体" w:hAnsi="宋体"/>
                <w:color w:val="auto"/>
                <w:sz w:val="24"/>
                <w:highlight w:val="none"/>
              </w:rPr>
              <w:t>(1) 发票；</w:t>
            </w:r>
          </w:p>
          <w:p w14:paraId="3B1EE85B">
            <w:pPr>
              <w:jc w:val="left"/>
              <w:rPr>
                <w:rFonts w:ascii="宋体" w:hAnsi="宋体"/>
                <w:color w:val="auto"/>
                <w:sz w:val="24"/>
                <w:highlight w:val="none"/>
              </w:rPr>
            </w:pPr>
            <w:r>
              <w:rPr>
                <w:rFonts w:hint="eastAsia" w:ascii="宋体" w:hAnsi="宋体"/>
                <w:color w:val="auto"/>
                <w:sz w:val="24"/>
                <w:highlight w:val="none"/>
              </w:rPr>
              <w:t>(2) 制造厂家出具的质量检验证书等；</w:t>
            </w:r>
          </w:p>
          <w:p w14:paraId="00AA84D1">
            <w:pPr>
              <w:jc w:val="left"/>
              <w:rPr>
                <w:rFonts w:ascii="宋体" w:hAnsi="宋体"/>
                <w:color w:val="auto"/>
                <w:sz w:val="24"/>
                <w:highlight w:val="none"/>
              </w:rPr>
            </w:pPr>
            <w:r>
              <w:rPr>
                <w:rFonts w:hint="eastAsia" w:ascii="宋体" w:hAnsi="宋体"/>
                <w:color w:val="auto"/>
                <w:sz w:val="24"/>
                <w:highlight w:val="none"/>
              </w:rPr>
              <w:t>(3) 装箱单；</w:t>
            </w:r>
          </w:p>
          <w:p w14:paraId="3FDF0A7F">
            <w:pPr>
              <w:jc w:val="left"/>
              <w:rPr>
                <w:color w:val="auto"/>
                <w:sz w:val="24"/>
                <w:highlight w:val="none"/>
              </w:rPr>
            </w:pPr>
            <w:r>
              <w:rPr>
                <w:rFonts w:hint="eastAsia" w:ascii="宋体" w:hAnsi="宋体"/>
                <w:color w:val="auto"/>
                <w:sz w:val="24"/>
                <w:highlight w:val="none"/>
              </w:rPr>
              <w:t>(4) 甲方加盖公章证明交付使用合格的验收单。</w:t>
            </w:r>
          </w:p>
        </w:tc>
      </w:tr>
      <w:tr w14:paraId="12FCC5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08E5929B">
            <w:pPr>
              <w:jc w:val="center"/>
              <w:rPr>
                <w:rFonts w:ascii="宋体" w:hAnsi="宋体"/>
                <w:color w:val="auto"/>
                <w:sz w:val="24"/>
                <w:highlight w:val="none"/>
              </w:rPr>
            </w:pPr>
            <w:r>
              <w:rPr>
                <w:rFonts w:hint="eastAsia" w:ascii="宋体" w:hAnsi="宋体"/>
                <w:color w:val="auto"/>
                <w:sz w:val="24"/>
                <w:highlight w:val="none"/>
              </w:rPr>
              <w:t>第二节</w:t>
            </w:r>
          </w:p>
          <w:p w14:paraId="3FED0502">
            <w:pPr>
              <w:jc w:val="center"/>
              <w:rPr>
                <w:rFonts w:ascii="宋体" w:hAnsi="宋体"/>
                <w:color w:val="auto"/>
                <w:sz w:val="24"/>
                <w:highlight w:val="none"/>
              </w:rPr>
            </w:pPr>
            <w:r>
              <w:rPr>
                <w:rFonts w:hint="eastAsia" w:ascii="宋体" w:hAnsi="宋体"/>
                <w:color w:val="auto"/>
                <w:sz w:val="24"/>
                <w:highlight w:val="none"/>
              </w:rPr>
              <w:t>第13.2款</w:t>
            </w:r>
          </w:p>
        </w:tc>
        <w:tc>
          <w:tcPr>
            <w:tcW w:w="1789" w:type="dxa"/>
            <w:vAlign w:val="center"/>
          </w:tcPr>
          <w:p w14:paraId="72E778AF">
            <w:pPr>
              <w:jc w:val="left"/>
              <w:rPr>
                <w:rFonts w:ascii="宋体" w:hAnsi="宋体"/>
                <w:color w:val="auto"/>
                <w:sz w:val="24"/>
                <w:highlight w:val="none"/>
              </w:rPr>
            </w:pPr>
            <w:r>
              <w:rPr>
                <w:rFonts w:hint="eastAsia" w:ascii="宋体" w:hAnsi="宋体"/>
                <w:color w:val="auto"/>
                <w:sz w:val="24"/>
                <w:highlight w:val="none"/>
              </w:rPr>
              <w:t>履约保证金不予退还的情形</w:t>
            </w:r>
          </w:p>
        </w:tc>
        <w:tc>
          <w:tcPr>
            <w:tcW w:w="5170" w:type="dxa"/>
            <w:vAlign w:val="center"/>
          </w:tcPr>
          <w:p w14:paraId="238CE202">
            <w:pPr>
              <w:spacing w:line="360" w:lineRule="auto"/>
              <w:rPr>
                <w:rFonts w:ascii="宋体" w:hAnsi="宋体" w:cs="宋体"/>
                <w:color w:val="auto"/>
                <w:sz w:val="24"/>
                <w:highlight w:val="none"/>
              </w:rPr>
            </w:pPr>
            <w:r>
              <w:rPr>
                <w:rFonts w:hint="eastAsia" w:ascii="宋体" w:hAnsi="宋体" w:cs="宋体"/>
                <w:color w:val="auto"/>
                <w:sz w:val="24"/>
                <w:highlight w:val="none"/>
              </w:rPr>
              <w:t>除不可抗力情况外，投标人出现下列情形之一的，其履约保证金，招标人将视情节决定不予退还或部分不予退还。</w:t>
            </w:r>
          </w:p>
          <w:p w14:paraId="19C6A525">
            <w:pPr>
              <w:spacing w:line="360" w:lineRule="auto"/>
              <w:rPr>
                <w:rFonts w:ascii="宋体" w:hAnsi="宋体" w:cs="宋体"/>
                <w:color w:val="auto"/>
                <w:sz w:val="24"/>
                <w:highlight w:val="none"/>
              </w:rPr>
            </w:pPr>
            <w:r>
              <w:rPr>
                <w:rFonts w:hint="eastAsia" w:ascii="宋体" w:hAnsi="宋体" w:cs="宋体"/>
                <w:color w:val="auto"/>
                <w:sz w:val="24"/>
                <w:highlight w:val="none"/>
              </w:rPr>
              <w:t>（1）中标人无正当理由拒绝签订合同的，或者在签订合同时向采购人提出附加条件或者更改合同实质性内容要求的；</w:t>
            </w:r>
          </w:p>
          <w:p w14:paraId="49BE2640">
            <w:pPr>
              <w:spacing w:line="360" w:lineRule="auto"/>
              <w:rPr>
                <w:rFonts w:ascii="宋体" w:hAnsi="宋体" w:cs="宋体"/>
                <w:color w:val="auto"/>
                <w:sz w:val="24"/>
                <w:highlight w:val="none"/>
              </w:rPr>
            </w:pPr>
            <w:r>
              <w:rPr>
                <w:rFonts w:hint="eastAsia" w:ascii="宋体" w:hAnsi="宋体" w:cs="宋体"/>
                <w:color w:val="auto"/>
                <w:sz w:val="24"/>
                <w:highlight w:val="none"/>
              </w:rPr>
              <w:t>（2）中标人不履行与采购人订立的合同的；</w:t>
            </w:r>
          </w:p>
          <w:p w14:paraId="604FB7B9">
            <w:pPr>
              <w:spacing w:line="360" w:lineRule="auto"/>
              <w:rPr>
                <w:rFonts w:ascii="宋体" w:hAnsi="宋体" w:cs="宋体"/>
                <w:color w:val="auto"/>
                <w:sz w:val="24"/>
                <w:highlight w:val="none"/>
              </w:rPr>
            </w:pPr>
            <w:r>
              <w:rPr>
                <w:rFonts w:hint="eastAsia" w:ascii="宋体" w:hAnsi="宋体" w:cs="宋体"/>
                <w:color w:val="auto"/>
                <w:sz w:val="24"/>
                <w:highlight w:val="none"/>
              </w:rPr>
              <w:t>（3）中标人所供货物或服务不符合招标文件规定要求的；</w:t>
            </w:r>
          </w:p>
          <w:p w14:paraId="43E4DC3A">
            <w:pPr>
              <w:spacing w:line="360" w:lineRule="auto"/>
              <w:rPr>
                <w:rFonts w:ascii="宋体" w:hAnsi="宋体" w:cs="宋体"/>
                <w:color w:val="auto"/>
                <w:sz w:val="24"/>
                <w:highlight w:val="none"/>
              </w:rPr>
            </w:pPr>
            <w:r>
              <w:rPr>
                <w:rFonts w:hint="eastAsia" w:ascii="宋体" w:hAnsi="宋体" w:cs="宋体"/>
                <w:color w:val="auto"/>
                <w:sz w:val="24"/>
                <w:highlight w:val="none"/>
              </w:rPr>
              <w:t>（4）中标人采取欺骗、弄虚作假方式投标的或与</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投标人串通投标的；</w:t>
            </w:r>
          </w:p>
          <w:p w14:paraId="4AF25C80">
            <w:pPr>
              <w:spacing w:line="360" w:lineRule="auto"/>
              <w:rPr>
                <w:rFonts w:ascii="宋体" w:hAnsi="宋体" w:cs="宋体"/>
                <w:color w:val="auto"/>
                <w:sz w:val="24"/>
                <w:highlight w:val="none"/>
              </w:rPr>
            </w:pPr>
            <w:r>
              <w:rPr>
                <w:rFonts w:hint="eastAsia" w:ascii="宋体" w:hAnsi="宋体" w:cs="宋体"/>
                <w:color w:val="auto"/>
                <w:sz w:val="24"/>
                <w:highlight w:val="none"/>
              </w:rPr>
              <w:t>（5）中标人将合同内容转包、违法分包的；</w:t>
            </w:r>
          </w:p>
          <w:p w14:paraId="6F3DF6F3">
            <w:pPr>
              <w:spacing w:line="360" w:lineRule="auto"/>
              <w:rPr>
                <w:rFonts w:ascii="宋体" w:hAnsi="宋体"/>
                <w:color w:val="auto"/>
                <w:sz w:val="24"/>
                <w:highlight w:val="none"/>
              </w:rPr>
            </w:pPr>
            <w:r>
              <w:rPr>
                <w:rFonts w:hint="eastAsia" w:ascii="宋体" w:hAnsi="宋体" w:cs="宋体"/>
                <w:color w:val="auto"/>
                <w:sz w:val="24"/>
                <w:highlight w:val="none"/>
              </w:rPr>
              <w:t>（6）中标人故意捏造事实或伪造证明材料，进行虚假恶意投诉或反映的。</w:t>
            </w:r>
          </w:p>
        </w:tc>
      </w:tr>
      <w:tr w14:paraId="1B0EB6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BD64B87">
            <w:pPr>
              <w:jc w:val="center"/>
              <w:rPr>
                <w:rFonts w:ascii="宋体" w:hAnsi="宋体"/>
                <w:color w:val="auto"/>
                <w:sz w:val="24"/>
                <w:highlight w:val="none"/>
              </w:rPr>
            </w:pPr>
            <w:r>
              <w:rPr>
                <w:rFonts w:hint="eastAsia" w:ascii="宋体" w:hAnsi="宋体"/>
                <w:color w:val="auto"/>
                <w:sz w:val="24"/>
                <w:highlight w:val="none"/>
              </w:rPr>
              <w:t>第二节</w:t>
            </w:r>
          </w:p>
          <w:p w14:paraId="011BE725">
            <w:pPr>
              <w:jc w:val="center"/>
              <w:rPr>
                <w:rFonts w:ascii="宋体" w:hAnsi="宋体"/>
                <w:color w:val="auto"/>
                <w:sz w:val="24"/>
                <w:highlight w:val="none"/>
              </w:rPr>
            </w:pPr>
            <w:r>
              <w:rPr>
                <w:rFonts w:hint="eastAsia" w:ascii="宋体" w:hAnsi="宋体"/>
                <w:color w:val="auto"/>
                <w:sz w:val="24"/>
                <w:highlight w:val="none"/>
              </w:rPr>
              <w:t>第13.3款</w:t>
            </w:r>
          </w:p>
        </w:tc>
        <w:tc>
          <w:tcPr>
            <w:tcW w:w="1789" w:type="dxa"/>
            <w:vAlign w:val="center"/>
          </w:tcPr>
          <w:p w14:paraId="6B44986A">
            <w:pPr>
              <w:jc w:val="left"/>
              <w:rPr>
                <w:rFonts w:ascii="宋体" w:hAnsi="宋体" w:cs="宋体"/>
                <w:color w:val="auto"/>
                <w:sz w:val="24"/>
                <w:highlight w:val="none"/>
              </w:rPr>
            </w:pPr>
            <w:r>
              <w:rPr>
                <w:rFonts w:hint="eastAsia" w:ascii="宋体" w:hAnsi="宋体" w:cs="宋体"/>
                <w:color w:val="auto"/>
                <w:sz w:val="24"/>
                <w:highlight w:val="none"/>
              </w:rPr>
              <w:t>履约保证金退还时间及逾期退还的违约金</w:t>
            </w:r>
          </w:p>
        </w:tc>
        <w:tc>
          <w:tcPr>
            <w:tcW w:w="5170" w:type="dxa"/>
            <w:vAlign w:val="center"/>
          </w:tcPr>
          <w:p w14:paraId="2207DA2E">
            <w:pPr>
              <w:spacing w:line="360" w:lineRule="auto"/>
              <w:rPr>
                <w:rFonts w:ascii="宋体" w:hAnsi="宋体" w:cs="宋体"/>
                <w:color w:val="auto"/>
                <w:sz w:val="24"/>
                <w:highlight w:val="none"/>
              </w:rPr>
            </w:pPr>
            <w:r>
              <w:rPr>
                <w:rFonts w:hint="eastAsia" w:ascii="宋体" w:hAnsi="宋体" w:cs="宋体"/>
                <w:color w:val="auto"/>
                <w:sz w:val="24"/>
                <w:highlight w:val="none"/>
              </w:rPr>
              <w:t>1、合同履行结束后，甲方应及时退还交纳的履约保证金。</w:t>
            </w:r>
          </w:p>
          <w:p w14:paraId="54183D35">
            <w:pPr>
              <w:spacing w:line="360" w:lineRule="auto"/>
              <w:rPr>
                <w:rFonts w:ascii="宋体" w:hAnsi="宋体" w:cs="宋体"/>
                <w:color w:val="auto"/>
                <w:sz w:val="24"/>
                <w:highlight w:val="none"/>
              </w:rPr>
            </w:pPr>
            <w:r>
              <w:rPr>
                <w:rFonts w:hint="eastAsia" w:ascii="宋体" w:hAnsi="宋体" w:cs="宋体"/>
                <w:color w:val="auto"/>
                <w:sz w:val="24"/>
                <w:highlight w:val="none"/>
              </w:rPr>
              <w:t>2、退还方式：退还至投标人缴纳履约保证金的账户。如为保函，在到期时自行失效。</w:t>
            </w:r>
          </w:p>
          <w:p w14:paraId="68044E18">
            <w:pPr>
              <w:spacing w:line="360" w:lineRule="auto"/>
              <w:rPr>
                <w:rFonts w:ascii="宋体" w:hAnsi="宋体" w:cs="宋体"/>
                <w:color w:val="auto"/>
                <w:sz w:val="24"/>
                <w:highlight w:val="none"/>
              </w:rPr>
            </w:pPr>
            <w:r>
              <w:rPr>
                <w:rFonts w:hint="eastAsia" w:ascii="宋体" w:hAnsi="宋体" w:cs="宋体"/>
                <w:color w:val="auto"/>
                <w:sz w:val="24"/>
                <w:highlight w:val="none"/>
              </w:rPr>
              <w:t>3、退还时间：验收合格且甲方收到发票后30日内。</w:t>
            </w:r>
          </w:p>
          <w:p w14:paraId="27B602B1">
            <w:pPr>
              <w:spacing w:line="360" w:lineRule="auto"/>
              <w:rPr>
                <w:rFonts w:ascii="宋体" w:hAnsi="宋体" w:cs="宋体"/>
                <w:color w:val="auto"/>
                <w:sz w:val="24"/>
                <w:highlight w:val="none"/>
              </w:rPr>
            </w:pPr>
            <w:r>
              <w:rPr>
                <w:rFonts w:hint="eastAsia" w:ascii="宋体" w:hAnsi="宋体" w:cs="宋体"/>
                <w:color w:val="auto"/>
                <w:sz w:val="24"/>
                <w:highlight w:val="none"/>
              </w:rPr>
              <w:t>4、退还条件：按合同要求全部履约完成并经采购人验收合格，且采购人收到中标人出具的发票。</w:t>
            </w:r>
          </w:p>
          <w:p w14:paraId="1B3C07D8">
            <w:pPr>
              <w:spacing w:line="360" w:lineRule="auto"/>
              <w:rPr>
                <w:rFonts w:ascii="宋体" w:hAnsi="宋体" w:cs="宋体"/>
                <w:color w:val="auto"/>
                <w:sz w:val="24"/>
                <w:highlight w:val="none"/>
              </w:rPr>
            </w:pPr>
            <w:r>
              <w:rPr>
                <w:rFonts w:hint="eastAsia" w:ascii="宋体" w:hAnsi="宋体" w:cs="宋体"/>
                <w:color w:val="auto"/>
                <w:sz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44FC32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0AA02156">
            <w:pPr>
              <w:jc w:val="center"/>
              <w:rPr>
                <w:rFonts w:ascii="宋体" w:hAnsi="宋体"/>
                <w:color w:val="auto"/>
                <w:sz w:val="24"/>
                <w:highlight w:val="none"/>
              </w:rPr>
            </w:pPr>
            <w:r>
              <w:rPr>
                <w:rFonts w:hint="eastAsia" w:ascii="宋体" w:hAnsi="宋体"/>
                <w:color w:val="auto"/>
                <w:sz w:val="24"/>
                <w:highlight w:val="none"/>
              </w:rPr>
              <w:t>第二节</w:t>
            </w:r>
          </w:p>
          <w:p w14:paraId="431CD95F">
            <w:pPr>
              <w:jc w:val="center"/>
              <w:rPr>
                <w:rFonts w:ascii="宋体" w:hAnsi="宋体"/>
                <w:color w:val="auto"/>
                <w:sz w:val="24"/>
                <w:highlight w:val="none"/>
              </w:rPr>
            </w:pPr>
            <w:r>
              <w:rPr>
                <w:rFonts w:hint="eastAsia" w:ascii="宋体" w:hAnsi="宋体"/>
                <w:color w:val="auto"/>
                <w:sz w:val="24"/>
                <w:highlight w:val="none"/>
              </w:rPr>
              <w:t>第14.1（3）项</w:t>
            </w:r>
          </w:p>
        </w:tc>
        <w:tc>
          <w:tcPr>
            <w:tcW w:w="1789" w:type="dxa"/>
            <w:vAlign w:val="center"/>
          </w:tcPr>
          <w:p w14:paraId="01956E66">
            <w:pPr>
              <w:jc w:val="left"/>
              <w:rPr>
                <w:rFonts w:ascii="宋体" w:hAnsi="宋体"/>
                <w:color w:val="auto"/>
                <w:sz w:val="24"/>
                <w:highlight w:val="none"/>
              </w:rPr>
            </w:pPr>
            <w:r>
              <w:rPr>
                <w:rFonts w:hint="eastAsia" w:ascii="宋体" w:hAnsi="宋体"/>
                <w:color w:val="auto"/>
                <w:sz w:val="24"/>
                <w:highlight w:val="none"/>
              </w:rPr>
              <w:t>运行监督、维修期限</w:t>
            </w:r>
          </w:p>
        </w:tc>
        <w:tc>
          <w:tcPr>
            <w:tcW w:w="5170" w:type="dxa"/>
            <w:vAlign w:val="center"/>
          </w:tcPr>
          <w:p w14:paraId="60A01980">
            <w:pPr>
              <w:jc w:val="left"/>
              <w:rPr>
                <w:rFonts w:ascii="宋体" w:hAnsi="宋体"/>
                <w:color w:val="auto"/>
                <w:sz w:val="24"/>
                <w:highlight w:val="none"/>
              </w:rPr>
            </w:pPr>
          </w:p>
        </w:tc>
      </w:tr>
      <w:tr w14:paraId="4FC143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74710697">
            <w:pPr>
              <w:jc w:val="center"/>
              <w:rPr>
                <w:rFonts w:ascii="宋体" w:hAnsi="宋体"/>
                <w:color w:val="auto"/>
                <w:sz w:val="24"/>
                <w:highlight w:val="none"/>
              </w:rPr>
            </w:pPr>
            <w:r>
              <w:rPr>
                <w:rFonts w:hint="eastAsia" w:ascii="宋体" w:hAnsi="宋体"/>
                <w:color w:val="auto"/>
                <w:sz w:val="24"/>
                <w:highlight w:val="none"/>
              </w:rPr>
              <w:t>第二节</w:t>
            </w:r>
          </w:p>
          <w:p w14:paraId="491D79E6">
            <w:pPr>
              <w:jc w:val="center"/>
              <w:rPr>
                <w:rFonts w:ascii="宋体" w:hAnsi="宋体"/>
                <w:color w:val="auto"/>
                <w:sz w:val="24"/>
                <w:highlight w:val="none"/>
              </w:rPr>
            </w:pPr>
            <w:r>
              <w:rPr>
                <w:rFonts w:hint="eastAsia" w:ascii="宋体" w:hAnsi="宋体"/>
                <w:color w:val="auto"/>
                <w:sz w:val="24"/>
                <w:highlight w:val="none"/>
              </w:rPr>
              <w:t>第14.1（5）项</w:t>
            </w:r>
          </w:p>
        </w:tc>
        <w:tc>
          <w:tcPr>
            <w:tcW w:w="1789" w:type="dxa"/>
            <w:vAlign w:val="center"/>
          </w:tcPr>
          <w:p w14:paraId="23D25CD5">
            <w:pPr>
              <w:jc w:val="left"/>
              <w:rPr>
                <w:rFonts w:ascii="宋体" w:hAnsi="宋体"/>
                <w:color w:val="auto"/>
                <w:sz w:val="24"/>
                <w:highlight w:val="none"/>
              </w:rPr>
            </w:pPr>
            <w:r>
              <w:rPr>
                <w:rFonts w:hint="eastAsia" w:ascii="宋体" w:hAnsi="宋体"/>
                <w:color w:val="auto"/>
                <w:sz w:val="24"/>
                <w:highlight w:val="none"/>
              </w:rPr>
              <w:t>货物回收的约定</w:t>
            </w:r>
          </w:p>
        </w:tc>
        <w:tc>
          <w:tcPr>
            <w:tcW w:w="5170" w:type="dxa"/>
            <w:vAlign w:val="center"/>
          </w:tcPr>
          <w:p w14:paraId="23560B20">
            <w:pPr>
              <w:jc w:val="left"/>
              <w:rPr>
                <w:rFonts w:ascii="宋体" w:hAnsi="宋体"/>
                <w:color w:val="auto"/>
                <w:sz w:val="24"/>
                <w:highlight w:val="none"/>
              </w:rPr>
            </w:pPr>
          </w:p>
        </w:tc>
      </w:tr>
      <w:tr w14:paraId="0733C1C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623D8A8">
            <w:pPr>
              <w:jc w:val="center"/>
              <w:rPr>
                <w:rFonts w:ascii="宋体" w:hAnsi="宋体"/>
                <w:color w:val="auto"/>
                <w:sz w:val="24"/>
                <w:highlight w:val="none"/>
              </w:rPr>
            </w:pPr>
            <w:r>
              <w:rPr>
                <w:rFonts w:hint="eastAsia" w:ascii="宋体" w:hAnsi="宋体"/>
                <w:color w:val="auto"/>
                <w:sz w:val="24"/>
                <w:highlight w:val="none"/>
              </w:rPr>
              <w:t>第二节</w:t>
            </w:r>
          </w:p>
          <w:p w14:paraId="72E9EA25">
            <w:pPr>
              <w:jc w:val="center"/>
              <w:rPr>
                <w:rFonts w:ascii="宋体" w:hAnsi="宋体"/>
                <w:color w:val="auto"/>
                <w:sz w:val="24"/>
                <w:highlight w:val="none"/>
              </w:rPr>
            </w:pPr>
            <w:r>
              <w:rPr>
                <w:rFonts w:hint="eastAsia" w:ascii="宋体" w:hAnsi="宋体"/>
                <w:color w:val="auto"/>
                <w:sz w:val="24"/>
                <w:highlight w:val="none"/>
              </w:rPr>
              <w:t>第14.1（6）项</w:t>
            </w:r>
          </w:p>
        </w:tc>
        <w:tc>
          <w:tcPr>
            <w:tcW w:w="1789" w:type="dxa"/>
            <w:vAlign w:val="center"/>
          </w:tcPr>
          <w:p w14:paraId="552C1E58">
            <w:pPr>
              <w:jc w:val="left"/>
              <w:rPr>
                <w:rFonts w:ascii="宋体" w:hAnsi="宋体"/>
                <w:color w:val="auto"/>
                <w:sz w:val="24"/>
                <w:highlight w:val="none"/>
              </w:rPr>
            </w:pPr>
            <w:r>
              <w:rPr>
                <w:rFonts w:hint="eastAsia" w:ascii="宋体" w:hAnsi="宋体"/>
                <w:color w:val="auto"/>
                <w:sz w:val="24"/>
                <w:highlight w:val="none"/>
              </w:rPr>
              <w:t>乙方提供的其他服务</w:t>
            </w:r>
          </w:p>
        </w:tc>
        <w:tc>
          <w:tcPr>
            <w:tcW w:w="5170" w:type="dxa"/>
            <w:vAlign w:val="center"/>
          </w:tcPr>
          <w:p w14:paraId="26BBD892">
            <w:pPr>
              <w:jc w:val="left"/>
              <w:rPr>
                <w:rFonts w:ascii="宋体" w:hAnsi="宋体"/>
                <w:color w:val="auto"/>
                <w:sz w:val="24"/>
                <w:highlight w:val="none"/>
              </w:rPr>
            </w:pPr>
          </w:p>
        </w:tc>
      </w:tr>
      <w:tr w14:paraId="614945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B07F1CE">
            <w:pPr>
              <w:jc w:val="center"/>
              <w:rPr>
                <w:rFonts w:ascii="宋体" w:hAnsi="宋体"/>
                <w:color w:val="auto"/>
                <w:sz w:val="24"/>
                <w:highlight w:val="none"/>
              </w:rPr>
            </w:pPr>
            <w:r>
              <w:rPr>
                <w:rFonts w:hint="eastAsia" w:ascii="宋体" w:hAnsi="宋体"/>
                <w:color w:val="auto"/>
                <w:sz w:val="24"/>
                <w:highlight w:val="none"/>
              </w:rPr>
              <w:t>第二节</w:t>
            </w:r>
          </w:p>
          <w:p w14:paraId="7E97F5B4">
            <w:pPr>
              <w:jc w:val="center"/>
              <w:rPr>
                <w:rFonts w:ascii="宋体" w:hAnsi="宋体"/>
                <w:color w:val="auto"/>
                <w:sz w:val="24"/>
                <w:highlight w:val="none"/>
              </w:rPr>
            </w:pPr>
            <w:r>
              <w:rPr>
                <w:rFonts w:hint="eastAsia" w:ascii="宋体" w:hAnsi="宋体"/>
                <w:color w:val="auto"/>
                <w:sz w:val="24"/>
                <w:highlight w:val="none"/>
              </w:rPr>
              <w:t>第15.1款</w:t>
            </w:r>
          </w:p>
        </w:tc>
        <w:tc>
          <w:tcPr>
            <w:tcW w:w="1789" w:type="dxa"/>
            <w:vAlign w:val="center"/>
          </w:tcPr>
          <w:p w14:paraId="25AF2A2A">
            <w:pPr>
              <w:jc w:val="left"/>
              <w:rPr>
                <w:rFonts w:ascii="宋体" w:hAnsi="宋体"/>
                <w:color w:val="auto"/>
                <w:sz w:val="24"/>
                <w:highlight w:val="none"/>
              </w:rPr>
            </w:pPr>
            <w:r>
              <w:rPr>
                <w:rFonts w:hint="eastAsia" w:ascii="宋体" w:hAnsi="宋体"/>
                <w:color w:val="auto"/>
                <w:sz w:val="24"/>
                <w:highlight w:val="none"/>
              </w:rPr>
              <w:t>修理、重</w:t>
            </w:r>
            <w:r>
              <w:rPr>
                <w:rFonts w:hint="eastAsia" w:ascii="宋体" w:hAnsi="宋体"/>
                <w:color w:val="auto"/>
                <w:sz w:val="24"/>
                <w:highlight w:val="none"/>
                <w:lang w:eastAsia="zh-CN"/>
              </w:rPr>
              <w:t>做</w:t>
            </w:r>
            <w:r>
              <w:rPr>
                <w:rFonts w:hint="eastAsia" w:ascii="宋体" w:hAnsi="宋体"/>
                <w:color w:val="auto"/>
                <w:sz w:val="24"/>
                <w:highlight w:val="none"/>
              </w:rPr>
              <w:t>、更换相关具体规定</w:t>
            </w:r>
          </w:p>
        </w:tc>
        <w:tc>
          <w:tcPr>
            <w:tcW w:w="5170" w:type="dxa"/>
            <w:vAlign w:val="center"/>
          </w:tcPr>
          <w:p w14:paraId="76F02F76">
            <w:pPr>
              <w:numPr>
                <w:ilvl w:val="0"/>
                <w:numId w:val="9"/>
              </w:numPr>
              <w:jc w:val="left"/>
              <w:rPr>
                <w:rFonts w:ascii="宋体" w:hAnsi="宋体"/>
                <w:color w:val="auto"/>
                <w:sz w:val="24"/>
                <w:highlight w:val="none"/>
              </w:rPr>
            </w:pPr>
            <w:r>
              <w:rPr>
                <w:rFonts w:hint="eastAsia" w:ascii="宋体" w:hAnsi="宋体"/>
                <w:color w:val="auto"/>
                <w:sz w:val="24"/>
                <w:highlight w:val="none"/>
              </w:rPr>
              <w:t>详见合同通用条款8.2条款、合同专用条款第二节第8款补充条款及合同专用条款中索赔条款。</w:t>
            </w:r>
          </w:p>
          <w:p w14:paraId="4BE6FA6C">
            <w:pPr>
              <w:numPr>
                <w:ilvl w:val="0"/>
                <w:numId w:val="9"/>
              </w:numPr>
              <w:jc w:val="left"/>
              <w:rPr>
                <w:rFonts w:ascii="宋体" w:hAnsi="宋体"/>
                <w:color w:val="auto"/>
                <w:sz w:val="24"/>
                <w:highlight w:val="none"/>
              </w:rPr>
            </w:pPr>
            <w:r>
              <w:rPr>
                <w:rFonts w:hint="eastAsia" w:ascii="宋体" w:hAnsi="宋体"/>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6843CF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D91DEBE">
            <w:pPr>
              <w:jc w:val="center"/>
              <w:rPr>
                <w:rFonts w:ascii="宋体" w:hAnsi="宋体"/>
                <w:color w:val="auto"/>
                <w:sz w:val="24"/>
                <w:highlight w:val="none"/>
              </w:rPr>
            </w:pPr>
            <w:r>
              <w:rPr>
                <w:rFonts w:hint="eastAsia" w:ascii="宋体" w:hAnsi="宋体"/>
                <w:color w:val="auto"/>
                <w:sz w:val="24"/>
                <w:highlight w:val="none"/>
              </w:rPr>
              <w:t>第二节</w:t>
            </w:r>
          </w:p>
          <w:p w14:paraId="33B0F0F5">
            <w:pPr>
              <w:jc w:val="center"/>
              <w:rPr>
                <w:rFonts w:ascii="宋体" w:hAnsi="宋体"/>
                <w:color w:val="auto"/>
                <w:sz w:val="24"/>
                <w:highlight w:val="none"/>
              </w:rPr>
            </w:pPr>
            <w:r>
              <w:rPr>
                <w:rFonts w:hint="eastAsia" w:ascii="宋体" w:hAnsi="宋体"/>
                <w:color w:val="auto"/>
                <w:sz w:val="24"/>
                <w:highlight w:val="none"/>
              </w:rPr>
              <w:t>第15.2（2）项</w:t>
            </w:r>
          </w:p>
        </w:tc>
        <w:tc>
          <w:tcPr>
            <w:tcW w:w="1789" w:type="dxa"/>
            <w:vAlign w:val="center"/>
          </w:tcPr>
          <w:p w14:paraId="74530CAE">
            <w:pPr>
              <w:jc w:val="left"/>
              <w:rPr>
                <w:rFonts w:ascii="宋体" w:hAnsi="宋体"/>
                <w:color w:val="auto"/>
                <w:sz w:val="24"/>
                <w:highlight w:val="none"/>
              </w:rPr>
            </w:pPr>
            <w:r>
              <w:rPr>
                <w:rFonts w:hint="eastAsia" w:ascii="宋体" w:hAnsi="宋体"/>
                <w:color w:val="auto"/>
                <w:sz w:val="24"/>
                <w:highlight w:val="none"/>
              </w:rPr>
              <w:t>迟延交货赔偿费</w:t>
            </w:r>
          </w:p>
        </w:tc>
        <w:tc>
          <w:tcPr>
            <w:tcW w:w="5170" w:type="dxa"/>
            <w:vAlign w:val="center"/>
          </w:tcPr>
          <w:p w14:paraId="0D63E011">
            <w:pPr>
              <w:jc w:val="left"/>
              <w:rPr>
                <w:rFonts w:ascii="宋体" w:hAnsi="宋体"/>
                <w:color w:val="auto"/>
                <w:sz w:val="24"/>
                <w:highlight w:val="none"/>
              </w:rPr>
            </w:pPr>
            <w:r>
              <w:rPr>
                <w:rFonts w:hint="eastAsia" w:ascii="宋体" w:hAnsi="宋体"/>
                <w:color w:val="auto"/>
                <w:sz w:val="24"/>
                <w:highlight w:val="none"/>
              </w:rPr>
              <w:t>1.乙方应按照“开标（报价）一览表”中规定的交货期或承诺交货和提供服务，并交付甲方验收使用。</w:t>
            </w:r>
          </w:p>
          <w:p w14:paraId="140761D5">
            <w:pPr>
              <w:jc w:val="left"/>
              <w:rPr>
                <w:rFonts w:ascii="宋体" w:hAnsi="宋体"/>
                <w:color w:val="auto"/>
                <w:sz w:val="24"/>
                <w:highlight w:val="none"/>
              </w:rPr>
            </w:pPr>
            <w:r>
              <w:rPr>
                <w:rFonts w:hint="eastAsia" w:ascii="宋体" w:hAnsi="宋体"/>
                <w:color w:val="auto"/>
                <w:sz w:val="24"/>
                <w:highlight w:val="none"/>
              </w:rPr>
              <w:t>2.如果乙方无正当理由拖延交货，将受到以下制裁：加收误期赔偿或终止合同。</w:t>
            </w:r>
          </w:p>
          <w:p w14:paraId="27AB95ED">
            <w:pPr>
              <w:jc w:val="left"/>
              <w:rPr>
                <w:rFonts w:ascii="宋体" w:hAnsi="宋体"/>
                <w:color w:val="auto"/>
                <w:sz w:val="24"/>
                <w:highlight w:val="none"/>
              </w:rPr>
            </w:pPr>
            <w:r>
              <w:rPr>
                <w:rFonts w:hint="eastAsia" w:ascii="宋体" w:hAnsi="宋体"/>
                <w:color w:val="auto"/>
                <w:sz w:val="24"/>
                <w:highlight w:val="none"/>
              </w:rPr>
              <w:t>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p>
          <w:p w14:paraId="3846EB5E">
            <w:pPr>
              <w:jc w:val="left"/>
              <w:rPr>
                <w:rFonts w:ascii="宋体" w:hAnsi="宋体"/>
                <w:color w:val="auto"/>
                <w:sz w:val="24"/>
                <w:highlight w:val="none"/>
              </w:rPr>
            </w:pPr>
            <w:r>
              <w:rPr>
                <w:rFonts w:hint="eastAsia" w:ascii="宋体" w:hAnsi="宋体"/>
                <w:color w:val="auto"/>
                <w:sz w:val="24"/>
                <w:highlight w:val="none"/>
              </w:rPr>
              <w:t>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rPr>
              <w:t>的滞纳金。</w:t>
            </w:r>
          </w:p>
          <w:p w14:paraId="52DB8F5F">
            <w:pPr>
              <w:jc w:val="left"/>
              <w:rPr>
                <w:rFonts w:ascii="宋体" w:hAnsi="宋体"/>
                <w:color w:val="auto"/>
                <w:sz w:val="24"/>
                <w:highlight w:val="none"/>
                <w:u w:val="single"/>
              </w:rPr>
            </w:pPr>
          </w:p>
        </w:tc>
      </w:tr>
      <w:tr w14:paraId="5DC6148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421C9BE">
            <w:pPr>
              <w:jc w:val="center"/>
              <w:rPr>
                <w:rFonts w:ascii="宋体" w:hAnsi="宋体"/>
                <w:color w:val="auto"/>
                <w:sz w:val="24"/>
                <w:highlight w:val="none"/>
              </w:rPr>
            </w:pPr>
            <w:r>
              <w:rPr>
                <w:rFonts w:hint="eastAsia" w:ascii="宋体" w:hAnsi="宋体"/>
                <w:color w:val="auto"/>
                <w:sz w:val="24"/>
                <w:highlight w:val="none"/>
              </w:rPr>
              <w:t>第二节</w:t>
            </w:r>
          </w:p>
          <w:p w14:paraId="1AA3710A">
            <w:pPr>
              <w:jc w:val="center"/>
              <w:rPr>
                <w:rFonts w:ascii="宋体" w:hAnsi="宋体"/>
                <w:color w:val="auto"/>
                <w:sz w:val="24"/>
                <w:highlight w:val="none"/>
              </w:rPr>
            </w:pPr>
            <w:r>
              <w:rPr>
                <w:rFonts w:hint="eastAsia" w:ascii="宋体" w:hAnsi="宋体"/>
                <w:color w:val="auto"/>
                <w:sz w:val="24"/>
                <w:highlight w:val="none"/>
              </w:rPr>
              <w:t>第15.3款</w:t>
            </w:r>
          </w:p>
        </w:tc>
        <w:tc>
          <w:tcPr>
            <w:tcW w:w="1789" w:type="dxa"/>
            <w:vAlign w:val="center"/>
          </w:tcPr>
          <w:p w14:paraId="4D0841C6">
            <w:pPr>
              <w:jc w:val="left"/>
              <w:rPr>
                <w:rFonts w:ascii="宋体" w:hAnsi="宋体"/>
                <w:color w:val="auto"/>
                <w:sz w:val="24"/>
                <w:highlight w:val="none"/>
              </w:rPr>
            </w:pPr>
            <w:r>
              <w:rPr>
                <w:rFonts w:hint="eastAsia" w:ascii="宋体" w:hAnsi="宋体"/>
                <w:color w:val="auto"/>
                <w:sz w:val="24"/>
                <w:highlight w:val="none"/>
              </w:rPr>
              <w:t>逾期付款利息</w:t>
            </w:r>
          </w:p>
        </w:tc>
        <w:tc>
          <w:tcPr>
            <w:tcW w:w="5170" w:type="dxa"/>
            <w:vAlign w:val="center"/>
          </w:tcPr>
          <w:p w14:paraId="6F2C6932">
            <w:pPr>
              <w:pStyle w:val="8"/>
              <w:spacing w:before="120" w:beforeAutospacing="0" w:after="120" w:afterAutospacing="0"/>
              <w:ind w:left="410" w:hanging="410"/>
              <w:jc w:val="both"/>
              <w:rPr>
                <w:color w:val="auto"/>
                <w:highlight w:val="none"/>
              </w:rPr>
            </w:pPr>
            <w:r>
              <w:rPr>
                <w:rFonts w:hint="eastAsia" w:ascii="宋体" w:hAnsi="宋体" w:cs="宋体"/>
                <w:color w:val="auto"/>
                <w:highlight w:val="none"/>
              </w:rPr>
              <w:t>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rPr>
              <w:t>的违约金。</w:t>
            </w:r>
          </w:p>
          <w:p w14:paraId="3C1AE65B">
            <w:pPr>
              <w:pStyle w:val="8"/>
              <w:spacing w:before="120" w:beforeAutospacing="0" w:after="120" w:afterAutospacing="0"/>
              <w:ind w:left="410" w:hanging="410"/>
              <w:jc w:val="both"/>
              <w:rPr>
                <w:rFonts w:ascii="宋体" w:hAnsi="宋体"/>
                <w:color w:val="auto"/>
                <w:highlight w:val="none"/>
                <w:u w:val="single"/>
              </w:rPr>
            </w:pPr>
            <w:r>
              <w:rPr>
                <w:rFonts w:hint="eastAsia" w:ascii="宋体" w:hAnsi="宋体" w:cs="宋体"/>
                <w:color w:val="auto"/>
                <w:highlight w:val="none"/>
              </w:rPr>
              <w:t>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color w:val="auto"/>
                <w:highlight w:val="none"/>
              </w:rPr>
              <w:t>向乙方支付违约金。</w:t>
            </w:r>
          </w:p>
        </w:tc>
      </w:tr>
      <w:tr w14:paraId="0AD998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tcBorders>
              <w:bottom w:val="single" w:color="000000" w:sz="2" w:space="0"/>
              <w:right w:val="single" w:color="000000" w:sz="2" w:space="0"/>
            </w:tcBorders>
            <w:vAlign w:val="center"/>
          </w:tcPr>
          <w:p w14:paraId="75A2DBF0">
            <w:pPr>
              <w:jc w:val="center"/>
              <w:rPr>
                <w:rFonts w:ascii="宋体" w:hAnsi="宋体"/>
                <w:color w:val="auto"/>
                <w:sz w:val="24"/>
                <w:highlight w:val="none"/>
              </w:rPr>
            </w:pPr>
            <w:r>
              <w:rPr>
                <w:rFonts w:hint="eastAsia" w:ascii="宋体" w:hAnsi="宋体"/>
                <w:color w:val="auto"/>
                <w:sz w:val="24"/>
                <w:highlight w:val="none"/>
              </w:rPr>
              <w:t>第二节</w:t>
            </w:r>
          </w:p>
          <w:p w14:paraId="0E88DB2E">
            <w:pPr>
              <w:jc w:val="center"/>
              <w:rPr>
                <w:rFonts w:ascii="宋体" w:hAnsi="宋体"/>
                <w:color w:val="auto"/>
                <w:sz w:val="24"/>
                <w:highlight w:val="none"/>
              </w:rPr>
            </w:pPr>
            <w:r>
              <w:rPr>
                <w:rFonts w:hint="eastAsia" w:ascii="宋体" w:hAnsi="宋体"/>
                <w:color w:val="auto"/>
                <w:sz w:val="24"/>
                <w:highlight w:val="none"/>
              </w:rPr>
              <w:t>第15.4款</w:t>
            </w:r>
          </w:p>
        </w:tc>
        <w:tc>
          <w:tcPr>
            <w:tcW w:w="1789" w:type="dxa"/>
            <w:tcBorders>
              <w:left w:val="single" w:color="000000" w:sz="2" w:space="0"/>
              <w:bottom w:val="single" w:color="000000" w:sz="2" w:space="0"/>
              <w:right w:val="single" w:color="000000" w:sz="2" w:space="0"/>
            </w:tcBorders>
            <w:vAlign w:val="center"/>
          </w:tcPr>
          <w:p w14:paraId="73264194">
            <w:pPr>
              <w:jc w:val="left"/>
              <w:rPr>
                <w:rFonts w:ascii="宋体" w:hAnsi="宋体"/>
                <w:color w:val="auto"/>
                <w:sz w:val="24"/>
                <w:highlight w:val="none"/>
              </w:rPr>
            </w:pPr>
            <w:r>
              <w:rPr>
                <w:rFonts w:hint="eastAsia" w:ascii="宋体" w:hAnsi="宋体"/>
                <w:color w:val="auto"/>
                <w:sz w:val="24"/>
                <w:highlight w:val="none"/>
              </w:rPr>
              <w:t>其他违约责任</w:t>
            </w:r>
          </w:p>
        </w:tc>
        <w:tc>
          <w:tcPr>
            <w:tcW w:w="5170" w:type="dxa"/>
            <w:tcBorders>
              <w:left w:val="single" w:color="000000" w:sz="2" w:space="0"/>
              <w:bottom w:val="single" w:color="000000" w:sz="2" w:space="0"/>
            </w:tcBorders>
            <w:vAlign w:val="center"/>
          </w:tcPr>
          <w:p w14:paraId="6B853BCB">
            <w:pPr>
              <w:jc w:val="left"/>
              <w:rPr>
                <w:rFonts w:ascii="宋体" w:hAnsi="宋体"/>
                <w:color w:val="auto"/>
                <w:sz w:val="24"/>
                <w:highlight w:val="none"/>
                <w:u w:val="single"/>
              </w:rPr>
            </w:pPr>
          </w:p>
        </w:tc>
      </w:tr>
      <w:tr w14:paraId="2B3B94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tcBorders>
              <w:top w:val="single" w:color="000000" w:sz="2" w:space="0"/>
              <w:right w:val="single" w:color="000000" w:sz="2" w:space="0"/>
            </w:tcBorders>
            <w:vAlign w:val="center"/>
          </w:tcPr>
          <w:p w14:paraId="0AAB979C">
            <w:pPr>
              <w:jc w:val="center"/>
              <w:rPr>
                <w:rFonts w:ascii="宋体" w:hAnsi="宋体"/>
                <w:color w:val="auto"/>
                <w:sz w:val="24"/>
                <w:highlight w:val="none"/>
              </w:rPr>
            </w:pPr>
            <w:r>
              <w:rPr>
                <w:rFonts w:hint="eastAsia" w:ascii="宋体" w:hAnsi="宋体"/>
                <w:color w:val="auto"/>
                <w:sz w:val="24"/>
                <w:highlight w:val="none"/>
              </w:rPr>
              <w:t>第二节</w:t>
            </w:r>
          </w:p>
          <w:p w14:paraId="409E4A41">
            <w:pPr>
              <w:jc w:val="center"/>
              <w:rPr>
                <w:rFonts w:ascii="宋体" w:hAnsi="宋体"/>
                <w:color w:val="auto"/>
                <w:sz w:val="24"/>
                <w:highlight w:val="none"/>
              </w:rPr>
            </w:pPr>
            <w:r>
              <w:rPr>
                <w:rFonts w:hint="eastAsia" w:ascii="宋体" w:hAnsi="宋体"/>
                <w:color w:val="auto"/>
                <w:sz w:val="24"/>
                <w:highlight w:val="none"/>
              </w:rPr>
              <w:t>第19.2款</w:t>
            </w:r>
          </w:p>
        </w:tc>
        <w:tc>
          <w:tcPr>
            <w:tcW w:w="1789" w:type="dxa"/>
            <w:tcBorders>
              <w:top w:val="single" w:color="000000" w:sz="2" w:space="0"/>
              <w:left w:val="single" w:color="000000" w:sz="2" w:space="0"/>
              <w:right w:val="single" w:color="000000" w:sz="2" w:space="0"/>
            </w:tcBorders>
            <w:vAlign w:val="center"/>
          </w:tcPr>
          <w:p w14:paraId="5BC42E8C">
            <w:pPr>
              <w:jc w:val="left"/>
              <w:rPr>
                <w:rFonts w:ascii="宋体" w:hAnsi="宋体"/>
                <w:color w:val="auto"/>
                <w:sz w:val="24"/>
                <w:highlight w:val="none"/>
              </w:rPr>
            </w:pPr>
            <w:r>
              <w:rPr>
                <w:rFonts w:hint="eastAsia" w:ascii="宋体" w:hAnsi="宋体"/>
                <w:color w:val="auto"/>
                <w:sz w:val="24"/>
                <w:highlight w:val="none"/>
              </w:rPr>
              <w:t>解决争议的方法</w:t>
            </w:r>
          </w:p>
        </w:tc>
        <w:tc>
          <w:tcPr>
            <w:tcW w:w="5170" w:type="dxa"/>
            <w:tcBorders>
              <w:top w:val="single" w:color="000000" w:sz="2" w:space="0"/>
              <w:left w:val="single" w:color="000000" w:sz="2" w:space="0"/>
            </w:tcBorders>
            <w:vAlign w:val="center"/>
          </w:tcPr>
          <w:p w14:paraId="68BA8173">
            <w:pPr>
              <w:jc w:val="left"/>
              <w:rPr>
                <w:rFonts w:ascii="宋体" w:hAnsi="宋体"/>
                <w:color w:val="auto"/>
                <w:sz w:val="24"/>
                <w:highlight w:val="none"/>
              </w:rPr>
            </w:pPr>
            <w:r>
              <w:rPr>
                <w:rFonts w:hint="eastAsia" w:ascii="宋体" w:hAnsi="宋体"/>
                <w:color w:val="auto"/>
                <w:sz w:val="24"/>
                <w:highlight w:val="none"/>
              </w:rPr>
              <w:t>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3D60B198">
            <w:pPr>
              <w:jc w:val="left"/>
              <w:rPr>
                <w:rFonts w:ascii="宋体" w:hAnsi="宋体"/>
                <w:color w:val="auto"/>
                <w:sz w:val="24"/>
                <w:highlight w:val="none"/>
              </w:rPr>
            </w:pPr>
            <w:r>
              <w:rPr>
                <w:rFonts w:hint="eastAsia" w:ascii="宋体" w:hAnsi="宋体"/>
                <w:color w:val="auto"/>
                <w:sz w:val="24"/>
                <w:highlight w:val="none"/>
              </w:rPr>
              <w:t>（1）向仲裁委员会申请仲裁，仲裁地点为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8DA82B">
            <w:pPr>
              <w:jc w:val="left"/>
              <w:rPr>
                <w:rFonts w:ascii="宋体" w:hAnsi="宋体"/>
                <w:color w:val="auto"/>
                <w:sz w:val="24"/>
                <w:highlight w:val="none"/>
              </w:rPr>
            </w:pPr>
            <w:r>
              <w:rPr>
                <w:rFonts w:hint="eastAsia" w:ascii="宋体" w:hAnsi="宋体"/>
                <w:color w:val="auto"/>
                <w:sz w:val="24"/>
                <w:highlight w:val="none"/>
              </w:rPr>
              <w:t>（2）向甲方所在地人民法院起诉。</w:t>
            </w:r>
          </w:p>
          <w:p w14:paraId="57288576">
            <w:pPr>
              <w:jc w:val="left"/>
              <w:rPr>
                <w:rFonts w:ascii="宋体" w:hAnsi="宋体"/>
                <w:color w:val="auto"/>
                <w:sz w:val="24"/>
                <w:highlight w:val="none"/>
              </w:rPr>
            </w:pPr>
            <w:r>
              <w:rPr>
                <w:rFonts w:hint="eastAsia" w:ascii="宋体" w:hAnsi="宋体"/>
                <w:color w:val="auto"/>
                <w:sz w:val="24"/>
                <w:highlight w:val="none"/>
              </w:rPr>
              <w:t>2. 纠纷解决办法</w:t>
            </w:r>
          </w:p>
          <w:p w14:paraId="76FF0871">
            <w:pPr>
              <w:jc w:val="left"/>
              <w:rPr>
                <w:rFonts w:ascii="宋体" w:hAnsi="宋体"/>
                <w:color w:val="auto"/>
                <w:sz w:val="24"/>
                <w:highlight w:val="none"/>
              </w:rPr>
            </w:pPr>
            <w:r>
              <w:rPr>
                <w:rFonts w:hint="eastAsia" w:ascii="宋体" w:hAnsi="宋体"/>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28235E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6B37DDF6">
            <w:pPr>
              <w:jc w:val="center"/>
              <w:rPr>
                <w:rFonts w:ascii="宋体" w:hAnsi="宋体"/>
                <w:color w:val="auto"/>
                <w:sz w:val="24"/>
                <w:highlight w:val="none"/>
              </w:rPr>
            </w:pPr>
            <w:r>
              <w:rPr>
                <w:rFonts w:hint="eastAsia" w:ascii="宋体" w:hAnsi="宋体"/>
                <w:color w:val="auto"/>
                <w:sz w:val="24"/>
                <w:highlight w:val="none"/>
              </w:rPr>
              <w:t>第二节</w:t>
            </w:r>
          </w:p>
          <w:p w14:paraId="38CAE249">
            <w:pPr>
              <w:jc w:val="center"/>
              <w:rPr>
                <w:rFonts w:ascii="宋体" w:hAnsi="宋体"/>
                <w:color w:val="auto"/>
                <w:sz w:val="24"/>
                <w:highlight w:val="none"/>
              </w:rPr>
            </w:pPr>
            <w:r>
              <w:rPr>
                <w:rFonts w:hint="eastAsia" w:ascii="宋体" w:hAnsi="宋体"/>
                <w:color w:val="auto"/>
                <w:sz w:val="24"/>
                <w:highlight w:val="none"/>
              </w:rPr>
              <w:t>第23.1款</w:t>
            </w:r>
          </w:p>
        </w:tc>
        <w:tc>
          <w:tcPr>
            <w:tcW w:w="1789" w:type="dxa"/>
            <w:vAlign w:val="center"/>
          </w:tcPr>
          <w:p w14:paraId="3B95C4A7">
            <w:pPr>
              <w:jc w:val="left"/>
              <w:rPr>
                <w:rFonts w:ascii="宋体" w:hAnsi="宋体"/>
                <w:color w:val="auto"/>
                <w:sz w:val="24"/>
                <w:highlight w:val="none"/>
              </w:rPr>
            </w:pPr>
            <w:r>
              <w:rPr>
                <w:rFonts w:hint="eastAsia" w:ascii="宋体" w:hAnsi="宋体"/>
                <w:bCs/>
                <w:color w:val="auto"/>
                <w:sz w:val="24"/>
                <w:highlight w:val="none"/>
              </w:rPr>
              <w:t>其他专用条款</w:t>
            </w:r>
          </w:p>
        </w:tc>
        <w:tc>
          <w:tcPr>
            <w:tcW w:w="5170" w:type="dxa"/>
            <w:vAlign w:val="center"/>
          </w:tcPr>
          <w:p w14:paraId="52A9E912">
            <w:pPr>
              <w:jc w:val="left"/>
              <w:rPr>
                <w:rFonts w:ascii="宋体" w:hAnsi="宋体"/>
                <w:color w:val="auto"/>
                <w:sz w:val="24"/>
                <w:highlight w:val="none"/>
              </w:rPr>
            </w:pPr>
            <w:r>
              <w:rPr>
                <w:rFonts w:hint="eastAsia" w:ascii="宋体" w:hAnsi="宋体"/>
                <w:color w:val="auto"/>
                <w:sz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pPr>
              <w:jc w:val="left"/>
              <w:rPr>
                <w:rFonts w:ascii="宋体" w:hAnsi="宋体"/>
                <w:color w:val="auto"/>
                <w:sz w:val="24"/>
                <w:highlight w:val="none"/>
              </w:rPr>
            </w:pPr>
            <w:r>
              <w:rPr>
                <w:rFonts w:hint="eastAsia" w:ascii="宋体" w:hAnsi="宋体"/>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pPr>
              <w:jc w:val="left"/>
              <w:rPr>
                <w:rFonts w:ascii="宋体" w:hAnsi="宋体"/>
                <w:color w:val="auto"/>
                <w:sz w:val="24"/>
                <w:highlight w:val="none"/>
              </w:rPr>
            </w:pPr>
            <w:r>
              <w:rPr>
                <w:rFonts w:hint="eastAsia" w:ascii="宋体" w:hAnsi="宋体"/>
                <w:color w:val="auto"/>
                <w:sz w:val="24"/>
                <w:highlight w:val="none"/>
              </w:rPr>
              <w:t>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56D0EBCA">
            <w:pPr>
              <w:jc w:val="left"/>
              <w:rPr>
                <w:rFonts w:ascii="宋体" w:hAnsi="宋体"/>
                <w:color w:val="auto"/>
                <w:sz w:val="24"/>
                <w:highlight w:val="none"/>
              </w:rPr>
            </w:pPr>
            <w:r>
              <w:rPr>
                <w:rFonts w:hint="eastAsia" w:ascii="宋体" w:hAnsi="宋体"/>
                <w:color w:val="auto"/>
                <w:sz w:val="24"/>
                <w:highlight w:val="none"/>
              </w:rPr>
              <w:t>4.货物验收要求</w:t>
            </w:r>
          </w:p>
          <w:p w14:paraId="01D93C15">
            <w:pPr>
              <w:jc w:val="left"/>
              <w:rPr>
                <w:rFonts w:ascii="宋体" w:hAnsi="宋体"/>
                <w:color w:val="auto"/>
                <w:sz w:val="24"/>
                <w:highlight w:val="none"/>
              </w:rPr>
            </w:pPr>
            <w:r>
              <w:rPr>
                <w:rFonts w:hint="eastAsia" w:ascii="宋体" w:hAnsi="宋体"/>
                <w:color w:val="auto"/>
                <w:sz w:val="24"/>
                <w:highlight w:val="none"/>
              </w:rPr>
              <w:t>（1）依照招标文件要求对全部货物、型号、规格、数量、外型、外观、包装及资料、文件（如装箱单、保修单、随箱介质等）进行验收。</w:t>
            </w:r>
          </w:p>
          <w:p w14:paraId="4B6300CD">
            <w:pPr>
              <w:jc w:val="left"/>
              <w:rPr>
                <w:rFonts w:ascii="宋体" w:hAnsi="宋体"/>
                <w:color w:val="auto"/>
                <w:sz w:val="24"/>
                <w:highlight w:val="none"/>
              </w:rPr>
            </w:pPr>
            <w:r>
              <w:rPr>
                <w:rFonts w:hint="eastAsia" w:ascii="宋体" w:hAnsi="宋体"/>
                <w:color w:val="auto"/>
                <w:sz w:val="24"/>
                <w:highlight w:val="none"/>
              </w:rPr>
              <w:t>（2）甲方与乙方对货物到货后共同进行开箱检查，出现损坏、数量不全或产品不对等问题时，由乙方负责解决。</w:t>
            </w:r>
          </w:p>
          <w:p w14:paraId="4449CD3A">
            <w:pPr>
              <w:jc w:val="left"/>
              <w:rPr>
                <w:rFonts w:ascii="宋体" w:hAnsi="宋体"/>
                <w:color w:val="auto"/>
                <w:sz w:val="24"/>
                <w:highlight w:val="none"/>
              </w:rPr>
            </w:pPr>
            <w:r>
              <w:rPr>
                <w:rFonts w:hint="eastAsia" w:ascii="宋体" w:hAnsi="宋体"/>
                <w:color w:val="auto"/>
                <w:sz w:val="24"/>
                <w:highlight w:val="none"/>
              </w:rPr>
              <w:t>（3）甲方有权从乙方所送货物中任意抽出不同型号的产品送采购人所在地的质检部门检验，如果检验合格，检验费由甲方负担；如果检验不合格，则检验费由乙方负担。</w:t>
            </w:r>
          </w:p>
          <w:p w14:paraId="74F08199">
            <w:pPr>
              <w:jc w:val="left"/>
              <w:rPr>
                <w:rFonts w:ascii="宋体" w:hAnsi="宋体"/>
                <w:color w:val="auto"/>
                <w:sz w:val="24"/>
                <w:highlight w:val="none"/>
              </w:rPr>
            </w:pPr>
            <w:r>
              <w:rPr>
                <w:rFonts w:hint="eastAsia" w:ascii="宋体" w:hAnsi="宋体"/>
                <w:color w:val="auto"/>
                <w:sz w:val="24"/>
                <w:highlight w:val="none"/>
              </w:rPr>
              <w:t>（4）乙方应按照本合同规定的时间、地点和方式向乙方交付货物。</w:t>
            </w:r>
          </w:p>
          <w:p w14:paraId="0C0919EE">
            <w:pPr>
              <w:jc w:val="left"/>
              <w:rPr>
                <w:rFonts w:ascii="宋体" w:hAnsi="宋体"/>
                <w:color w:val="auto"/>
                <w:sz w:val="24"/>
                <w:highlight w:val="none"/>
              </w:rPr>
            </w:pPr>
            <w:r>
              <w:rPr>
                <w:rFonts w:hint="eastAsia" w:ascii="宋体" w:hAnsi="宋体"/>
                <w:color w:val="auto"/>
                <w:sz w:val="24"/>
                <w:highlight w:val="none"/>
              </w:rPr>
              <w:t>交货时间：</w:t>
            </w:r>
            <w:r>
              <w:rPr>
                <w:rFonts w:hint="eastAsia" w:ascii="宋体" w:hAnsi="宋体"/>
                <w:color w:val="auto"/>
                <w:sz w:val="24"/>
                <w:highlight w:val="none"/>
                <w:u w:val="single"/>
              </w:rPr>
              <w:t xml:space="preserve">          </w:t>
            </w:r>
            <w:r>
              <w:rPr>
                <w:rFonts w:hint="eastAsia" w:ascii="宋体" w:hAnsi="宋体"/>
                <w:color w:val="auto"/>
                <w:sz w:val="24"/>
                <w:highlight w:val="none"/>
              </w:rPr>
              <w:t>日前完成供货（安装）并交付使用。</w:t>
            </w:r>
          </w:p>
          <w:p w14:paraId="5376D1A2">
            <w:pPr>
              <w:jc w:val="left"/>
              <w:rPr>
                <w:rFonts w:ascii="宋体" w:hAnsi="宋体"/>
                <w:color w:val="auto"/>
                <w:sz w:val="24"/>
                <w:highlight w:val="none"/>
              </w:rPr>
            </w:pPr>
            <w:r>
              <w:rPr>
                <w:rFonts w:hint="eastAsia" w:ascii="宋体" w:hAnsi="宋体"/>
                <w:color w:val="auto"/>
                <w:sz w:val="24"/>
                <w:highlight w:val="none"/>
              </w:rPr>
              <w:t>交货地点：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FF992B">
            <w:pPr>
              <w:jc w:val="left"/>
              <w:rPr>
                <w:rFonts w:ascii="宋体" w:hAnsi="宋体"/>
                <w:color w:val="auto"/>
                <w:sz w:val="24"/>
                <w:highlight w:val="none"/>
              </w:rPr>
            </w:pPr>
            <w:r>
              <w:rPr>
                <w:rFonts w:hint="eastAsia" w:ascii="宋体" w:hAnsi="宋体"/>
                <w:color w:val="auto"/>
                <w:sz w:val="24"/>
                <w:highlight w:val="none"/>
              </w:rPr>
              <w:t>（5）甲方应在全部货物到货安装完毕后的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个月后，甲方组织对货物的质量及使用状况等进行最终验收。</w:t>
            </w:r>
          </w:p>
          <w:p w14:paraId="526D786B">
            <w:pPr>
              <w:jc w:val="left"/>
              <w:rPr>
                <w:rFonts w:ascii="宋体" w:hAnsi="宋体"/>
                <w:color w:val="auto"/>
                <w:sz w:val="24"/>
                <w:highlight w:val="none"/>
              </w:rPr>
            </w:pPr>
            <w:r>
              <w:rPr>
                <w:rFonts w:hint="eastAsia" w:ascii="宋体" w:hAnsi="宋体"/>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p w14:paraId="646C39F4">
            <w:pPr>
              <w:jc w:val="left"/>
              <w:rPr>
                <w:rFonts w:ascii="宋体" w:hAnsi="宋体"/>
                <w:color w:val="auto"/>
                <w:sz w:val="24"/>
                <w:highlight w:val="none"/>
              </w:rPr>
            </w:pPr>
          </w:p>
        </w:tc>
      </w:tr>
      <w:tr w14:paraId="51E928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C04BEEB">
            <w:pPr>
              <w:jc w:val="center"/>
              <w:rPr>
                <w:rFonts w:ascii="宋体" w:hAnsi="宋体"/>
                <w:color w:val="auto"/>
                <w:sz w:val="24"/>
                <w:highlight w:val="none"/>
              </w:rPr>
            </w:pPr>
          </w:p>
        </w:tc>
        <w:tc>
          <w:tcPr>
            <w:tcW w:w="1789" w:type="dxa"/>
            <w:vAlign w:val="center"/>
          </w:tcPr>
          <w:p w14:paraId="5DC2248F">
            <w:pPr>
              <w:jc w:val="left"/>
              <w:rPr>
                <w:rFonts w:ascii="宋体" w:hAnsi="宋体"/>
                <w:bCs/>
                <w:color w:val="auto"/>
                <w:sz w:val="24"/>
                <w:highlight w:val="none"/>
              </w:rPr>
            </w:pPr>
            <w:r>
              <w:rPr>
                <w:rFonts w:hint="eastAsia" w:ascii="宋体" w:hAnsi="宋体"/>
                <w:bCs/>
                <w:color w:val="auto"/>
                <w:sz w:val="24"/>
                <w:highlight w:val="none"/>
              </w:rPr>
              <w:t>税费</w:t>
            </w:r>
          </w:p>
        </w:tc>
        <w:tc>
          <w:tcPr>
            <w:tcW w:w="5170" w:type="dxa"/>
            <w:vAlign w:val="center"/>
          </w:tcPr>
          <w:p w14:paraId="401BE5BB">
            <w:pPr>
              <w:jc w:val="left"/>
              <w:rPr>
                <w:rFonts w:ascii="宋体" w:hAnsi="宋体"/>
                <w:color w:val="auto"/>
                <w:sz w:val="24"/>
                <w:highlight w:val="none"/>
              </w:rPr>
            </w:pPr>
            <w:r>
              <w:rPr>
                <w:rFonts w:hint="eastAsia" w:ascii="宋体" w:hAnsi="宋体"/>
                <w:color w:val="auto"/>
                <w:sz w:val="24"/>
                <w:highlight w:val="none"/>
              </w:rPr>
              <w:t>1.中国政府根据现行税法规定对甲方征收的与本合同有关的一切税费均由甲方负担（免税部分除外），招标文件另有规定的除外。</w:t>
            </w:r>
          </w:p>
          <w:p w14:paraId="729CED24">
            <w:pPr>
              <w:jc w:val="left"/>
              <w:rPr>
                <w:rFonts w:ascii="宋体" w:hAnsi="宋体"/>
                <w:color w:val="auto"/>
                <w:sz w:val="24"/>
                <w:highlight w:val="none"/>
              </w:rPr>
            </w:pPr>
            <w:r>
              <w:rPr>
                <w:rFonts w:hint="eastAsia" w:ascii="宋体" w:hAnsi="宋体"/>
                <w:color w:val="auto"/>
                <w:sz w:val="24"/>
                <w:highlight w:val="none"/>
              </w:rPr>
              <w:t>2.中国政府根据现行税法规定对乙方征收的与本合同有关的一切税费均由乙方负担（免税部分除外）。</w:t>
            </w:r>
          </w:p>
        </w:tc>
      </w:tr>
      <w:tr w14:paraId="25B7E1D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791B038">
            <w:pPr>
              <w:jc w:val="center"/>
              <w:rPr>
                <w:rFonts w:ascii="宋体" w:hAnsi="宋体"/>
                <w:color w:val="auto"/>
                <w:sz w:val="24"/>
                <w:highlight w:val="none"/>
              </w:rPr>
            </w:pPr>
          </w:p>
        </w:tc>
        <w:tc>
          <w:tcPr>
            <w:tcW w:w="1789" w:type="dxa"/>
            <w:vAlign w:val="center"/>
          </w:tcPr>
          <w:p w14:paraId="371E5146">
            <w:pPr>
              <w:jc w:val="left"/>
              <w:rPr>
                <w:rFonts w:ascii="宋体" w:hAnsi="宋体"/>
                <w:bCs/>
                <w:color w:val="auto"/>
                <w:sz w:val="24"/>
                <w:highlight w:val="none"/>
              </w:rPr>
            </w:pPr>
            <w:r>
              <w:rPr>
                <w:rFonts w:hint="eastAsia" w:ascii="宋体" w:hAnsi="宋体"/>
                <w:bCs/>
                <w:color w:val="auto"/>
                <w:sz w:val="24"/>
                <w:highlight w:val="none"/>
              </w:rPr>
              <w:t>伴随服务</w:t>
            </w:r>
          </w:p>
        </w:tc>
        <w:tc>
          <w:tcPr>
            <w:tcW w:w="5170" w:type="dxa"/>
            <w:vAlign w:val="center"/>
          </w:tcPr>
          <w:p w14:paraId="5BFA2010">
            <w:pPr>
              <w:jc w:val="left"/>
              <w:rPr>
                <w:rFonts w:ascii="宋体" w:hAnsi="宋体"/>
                <w:color w:val="auto"/>
                <w:sz w:val="24"/>
                <w:highlight w:val="none"/>
              </w:rPr>
            </w:pPr>
            <w:r>
              <w:rPr>
                <w:rFonts w:hint="eastAsia" w:ascii="宋体" w:hAnsi="宋体"/>
                <w:color w:val="auto"/>
                <w:sz w:val="24"/>
                <w:highlight w:val="none"/>
              </w:rPr>
              <w:t>1.乙方应按照国家</w:t>
            </w:r>
            <w:r>
              <w:rPr>
                <w:rFonts w:hint="eastAsia" w:ascii="宋体" w:hAnsi="宋体"/>
                <w:b/>
                <w:color w:val="auto"/>
                <w:sz w:val="24"/>
                <w:highlight w:val="none"/>
              </w:rPr>
              <w:t>“新三包”</w:t>
            </w:r>
            <w:r>
              <w:rPr>
                <w:rFonts w:hint="eastAsia" w:ascii="宋体" w:hAnsi="宋体"/>
                <w:color w:val="auto"/>
                <w:sz w:val="24"/>
                <w:highlight w:val="none"/>
              </w:rPr>
              <w:t>规定和合同中所附的服务承诺提供服务。</w:t>
            </w:r>
          </w:p>
          <w:p w14:paraId="630654D5">
            <w:pPr>
              <w:jc w:val="left"/>
              <w:rPr>
                <w:rFonts w:ascii="宋体" w:hAnsi="宋体"/>
                <w:color w:val="auto"/>
                <w:sz w:val="24"/>
                <w:highlight w:val="none"/>
              </w:rPr>
            </w:pPr>
            <w:r>
              <w:rPr>
                <w:rFonts w:hint="eastAsia" w:ascii="宋体" w:hAnsi="宋体"/>
                <w:color w:val="auto"/>
                <w:sz w:val="24"/>
                <w:highlight w:val="none"/>
              </w:rPr>
              <w:t>2.除第1条规定外，乙方还应提供下列服务：</w:t>
            </w:r>
          </w:p>
          <w:p w14:paraId="44EA7166">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p>
          <w:p w14:paraId="6ECBEB67">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p>
          <w:p w14:paraId="6D8F3BC0">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p>
          <w:p w14:paraId="7176FEC7">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p>
          <w:p w14:paraId="4C401DA2">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p>
          <w:p w14:paraId="48D67484">
            <w:pPr>
              <w:jc w:val="left"/>
              <w:rPr>
                <w:rFonts w:ascii="宋体" w:hAnsi="宋体"/>
                <w:color w:val="auto"/>
                <w:sz w:val="24"/>
                <w:highlight w:val="none"/>
              </w:rPr>
            </w:pPr>
            <w:r>
              <w:rPr>
                <w:rFonts w:hint="eastAsia" w:ascii="宋体" w:hAnsi="宋体"/>
                <w:color w:val="auto"/>
                <w:sz w:val="24"/>
                <w:highlight w:val="none"/>
              </w:rPr>
              <w:t>3.伴随服务的费用应含在合同价中，不单独进行支付。</w:t>
            </w:r>
          </w:p>
        </w:tc>
      </w:tr>
      <w:tr w14:paraId="7BAFCD8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3854CA5">
            <w:pPr>
              <w:jc w:val="center"/>
              <w:rPr>
                <w:rFonts w:ascii="宋体" w:hAnsi="宋体"/>
                <w:color w:val="auto"/>
                <w:sz w:val="24"/>
                <w:highlight w:val="none"/>
              </w:rPr>
            </w:pPr>
          </w:p>
        </w:tc>
        <w:tc>
          <w:tcPr>
            <w:tcW w:w="1789" w:type="dxa"/>
            <w:vAlign w:val="center"/>
          </w:tcPr>
          <w:p w14:paraId="2A4C4CF0">
            <w:pPr>
              <w:jc w:val="left"/>
              <w:rPr>
                <w:rFonts w:ascii="宋体" w:hAnsi="宋体"/>
                <w:color w:val="auto"/>
                <w:sz w:val="24"/>
                <w:highlight w:val="none"/>
              </w:rPr>
            </w:pPr>
            <w:r>
              <w:rPr>
                <w:rFonts w:hint="eastAsia" w:ascii="宋体" w:hAnsi="宋体"/>
                <w:color w:val="auto"/>
                <w:sz w:val="24"/>
                <w:highlight w:val="none"/>
              </w:rPr>
              <w:t>索赔</w:t>
            </w:r>
          </w:p>
          <w:p w14:paraId="0C1845B3">
            <w:pPr>
              <w:jc w:val="left"/>
              <w:rPr>
                <w:rFonts w:ascii="宋体" w:hAnsi="宋体"/>
                <w:color w:val="auto"/>
                <w:sz w:val="24"/>
                <w:highlight w:val="none"/>
              </w:rPr>
            </w:pPr>
          </w:p>
        </w:tc>
        <w:tc>
          <w:tcPr>
            <w:tcW w:w="5170" w:type="dxa"/>
            <w:vAlign w:val="center"/>
          </w:tcPr>
          <w:p w14:paraId="0A409CD8">
            <w:pPr>
              <w:jc w:val="left"/>
              <w:rPr>
                <w:rFonts w:ascii="宋体" w:hAnsi="宋体"/>
                <w:color w:val="auto"/>
                <w:sz w:val="24"/>
                <w:highlight w:val="none"/>
              </w:rPr>
            </w:pPr>
            <w:r>
              <w:rPr>
                <w:rFonts w:hint="eastAsia" w:ascii="宋体" w:hAnsi="宋体"/>
                <w:color w:val="auto"/>
                <w:sz w:val="24"/>
                <w:highlight w:val="none"/>
              </w:rPr>
              <w:t>1.甲方有权根据当地质检部门出具的检验报告，向乙方提出索赔。</w:t>
            </w:r>
          </w:p>
          <w:p w14:paraId="39BDD17D">
            <w:pPr>
              <w:jc w:val="left"/>
              <w:rPr>
                <w:rFonts w:ascii="宋体" w:hAnsi="宋体"/>
                <w:color w:val="auto"/>
                <w:sz w:val="24"/>
                <w:highlight w:val="none"/>
              </w:rPr>
            </w:pPr>
            <w:r>
              <w:rPr>
                <w:rFonts w:hint="eastAsia" w:ascii="宋体" w:hAnsi="宋体"/>
                <w:color w:val="auto"/>
                <w:sz w:val="24"/>
                <w:highlight w:val="none"/>
              </w:rPr>
              <w:t>2.根据合同规定的检验期和质量保证期内，如果乙方对甲方提出的索赔和差异负有责任，乙方应按照甲方同意的下列一种或多种方式解决索赔事宜：</w:t>
            </w:r>
          </w:p>
          <w:p w14:paraId="23F67DC8">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63F0C60F">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p>
          <w:p w14:paraId="7A4DBDCD">
            <w:pPr>
              <w:jc w:val="left"/>
              <w:rPr>
                <w:rFonts w:ascii="宋体" w:hAnsi="宋体"/>
                <w:color w:val="auto"/>
                <w:sz w:val="24"/>
                <w:highlight w:val="none"/>
              </w:rPr>
            </w:pPr>
            <w:r>
              <w:rPr>
                <w:rFonts w:hint="eastAsia" w:ascii="宋体" w:hAnsi="宋体"/>
                <w:color w:val="auto"/>
                <w:sz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7CF08432">
            <w:pPr>
              <w:jc w:val="left"/>
              <w:rPr>
                <w:rFonts w:ascii="宋体" w:hAnsi="宋体"/>
                <w:color w:val="auto"/>
                <w:sz w:val="24"/>
                <w:highlight w:val="none"/>
              </w:rPr>
            </w:pPr>
            <w:r>
              <w:rPr>
                <w:rFonts w:hint="eastAsia" w:ascii="宋体" w:hAnsi="宋体"/>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8F6A6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78134C4">
            <w:pPr>
              <w:jc w:val="center"/>
              <w:rPr>
                <w:rFonts w:ascii="宋体" w:hAnsi="宋体"/>
                <w:color w:val="auto"/>
                <w:sz w:val="24"/>
                <w:highlight w:val="none"/>
              </w:rPr>
            </w:pPr>
          </w:p>
        </w:tc>
        <w:tc>
          <w:tcPr>
            <w:tcW w:w="1789" w:type="dxa"/>
            <w:vAlign w:val="center"/>
          </w:tcPr>
          <w:p w14:paraId="18500DCF">
            <w:pPr>
              <w:jc w:val="left"/>
              <w:rPr>
                <w:rFonts w:ascii="宋体" w:hAnsi="宋体"/>
                <w:color w:val="auto"/>
                <w:sz w:val="24"/>
                <w:highlight w:val="none"/>
              </w:rPr>
            </w:pPr>
            <w:r>
              <w:rPr>
                <w:rFonts w:hint="eastAsia" w:ascii="宋体" w:hAnsi="宋体"/>
                <w:color w:val="auto"/>
                <w:sz w:val="24"/>
                <w:highlight w:val="none"/>
              </w:rPr>
              <w:t>合同生效</w:t>
            </w:r>
            <w:r>
              <w:rPr>
                <w:rFonts w:hint="eastAsia" w:ascii="宋体" w:hAnsi="宋体"/>
                <w:color w:val="auto"/>
                <w:sz w:val="24"/>
                <w:highlight w:val="none"/>
                <w:lang w:eastAsia="zh-CN"/>
              </w:rPr>
              <w:t>及其他</w:t>
            </w:r>
          </w:p>
          <w:p w14:paraId="6BB07FF1">
            <w:pPr>
              <w:jc w:val="left"/>
              <w:rPr>
                <w:rFonts w:ascii="宋体" w:hAnsi="宋体"/>
                <w:bCs/>
                <w:color w:val="auto"/>
                <w:sz w:val="24"/>
                <w:highlight w:val="none"/>
              </w:rPr>
            </w:pPr>
          </w:p>
        </w:tc>
        <w:tc>
          <w:tcPr>
            <w:tcW w:w="5170" w:type="dxa"/>
            <w:vAlign w:val="center"/>
          </w:tcPr>
          <w:p w14:paraId="49130A9E">
            <w:pPr>
              <w:jc w:val="left"/>
              <w:rPr>
                <w:rFonts w:ascii="宋体" w:hAnsi="宋体"/>
                <w:color w:val="auto"/>
                <w:sz w:val="24"/>
                <w:highlight w:val="none"/>
              </w:rPr>
            </w:pPr>
            <w:r>
              <w:rPr>
                <w:rFonts w:hint="eastAsia" w:ascii="宋体" w:hAnsi="宋体"/>
                <w:color w:val="auto"/>
                <w:sz w:val="24"/>
                <w:highlight w:val="none"/>
              </w:rPr>
              <w:t>1. 合同经甲方、乙方盖章后生效。</w:t>
            </w:r>
          </w:p>
          <w:p w14:paraId="6C7F6D25">
            <w:pPr>
              <w:jc w:val="left"/>
              <w:rPr>
                <w:rFonts w:ascii="宋体" w:hAnsi="宋体"/>
                <w:color w:val="auto"/>
                <w:sz w:val="24"/>
                <w:highlight w:val="none"/>
              </w:rPr>
            </w:pPr>
            <w:r>
              <w:rPr>
                <w:rFonts w:hint="eastAsia" w:ascii="宋体" w:hAnsi="宋体"/>
                <w:color w:val="auto"/>
                <w:sz w:val="24"/>
                <w:highlight w:val="none"/>
              </w:rPr>
              <w:t>2. 货物交付使用后所发生的合同纠纷，由甲方与乙方协商处理。</w:t>
            </w:r>
          </w:p>
          <w:p w14:paraId="2EB5C299">
            <w:pPr>
              <w:jc w:val="left"/>
              <w:rPr>
                <w:rFonts w:ascii="宋体" w:hAnsi="宋体"/>
                <w:color w:val="auto"/>
                <w:sz w:val="24"/>
                <w:highlight w:val="none"/>
              </w:rPr>
            </w:pPr>
            <w:r>
              <w:rPr>
                <w:rFonts w:hint="eastAsia" w:ascii="宋体" w:hAnsi="宋体"/>
                <w:color w:val="auto"/>
                <w:sz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pPr>
              <w:jc w:val="left"/>
              <w:rPr>
                <w:rFonts w:ascii="宋体" w:hAnsi="宋体"/>
                <w:color w:val="auto"/>
                <w:sz w:val="24"/>
                <w:highlight w:val="none"/>
              </w:rPr>
            </w:pPr>
            <w:r>
              <w:rPr>
                <w:rFonts w:hint="eastAsia" w:ascii="宋体" w:hAnsi="宋体"/>
                <w:color w:val="auto"/>
                <w:sz w:val="24"/>
                <w:highlight w:val="none"/>
              </w:rPr>
              <w:t>4.本合同应按照中华人民共和国的现行法律进行解释。本合同未尽事宜，遵照《民法典》、《政府采购法》等有关条文执行。</w:t>
            </w:r>
          </w:p>
        </w:tc>
      </w:tr>
    </w:tbl>
    <w:p w14:paraId="5695154A">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0B1F4080">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212EB0E3">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050653E2">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559197AE">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1B9B4E89">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7BA2A635">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13444095">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56A2AEC3">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07E573A4">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6A00B0E0">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3707A3C4">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5E4E6FC7">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43846816">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64B92E35">
      <w:pPr>
        <w:pStyle w:val="8"/>
        <w:spacing w:before="120" w:beforeAutospacing="0" w:after="120" w:afterAutospacing="0" w:line="0" w:lineRule="atLeast"/>
        <w:jc w:val="center"/>
        <w:rPr>
          <w:rFonts w:hint="eastAsia" w:ascii="黑体" w:hAnsi="宋体" w:eastAsia="黑体" w:cs="黑体"/>
          <w:color w:val="000000"/>
          <w:sz w:val="44"/>
          <w:szCs w:val="44"/>
          <w:highlight w:val="none"/>
        </w:rPr>
      </w:pPr>
    </w:p>
    <w:p w14:paraId="26A072D0">
      <w:pPr>
        <w:pStyle w:val="8"/>
        <w:keepNext w:val="0"/>
        <w:keepLines w:val="0"/>
        <w:pageBreakBefore w:val="0"/>
        <w:widowControl w:val="0"/>
        <w:kinsoku/>
        <w:wordWrap/>
        <w:overflowPunct/>
        <w:topLinePunct w:val="0"/>
        <w:autoSpaceDE/>
        <w:autoSpaceDN/>
        <w:bidi w:val="0"/>
        <w:adjustRightInd/>
        <w:snapToGrid/>
        <w:spacing w:before="120" w:beforeAutospacing="0" w:after="157" w:afterLines="50" w:afterAutospacing="0" w:line="0" w:lineRule="atLeast"/>
        <w:jc w:val="center"/>
        <w:textAlignment w:val="auto"/>
        <w:rPr>
          <w:rFonts w:hint="eastAsia" w:ascii="黑体" w:hAnsi="宋体" w:eastAsia="黑体" w:cs="黑体"/>
          <w:color w:val="000000"/>
          <w:sz w:val="44"/>
          <w:szCs w:val="44"/>
          <w:highlight w:val="none"/>
        </w:rPr>
      </w:pPr>
    </w:p>
    <w:p w14:paraId="476887B5">
      <w:pPr>
        <w:pStyle w:val="8"/>
        <w:keepNext w:val="0"/>
        <w:keepLines w:val="0"/>
        <w:pageBreakBefore w:val="0"/>
        <w:widowControl w:val="0"/>
        <w:kinsoku/>
        <w:wordWrap/>
        <w:overflowPunct/>
        <w:topLinePunct w:val="0"/>
        <w:autoSpaceDE/>
        <w:autoSpaceDN/>
        <w:bidi w:val="0"/>
        <w:adjustRightInd/>
        <w:snapToGrid/>
        <w:spacing w:before="120" w:beforeAutospacing="0" w:after="157" w:afterLines="50" w:afterAutospacing="0" w:line="0" w:lineRule="atLeast"/>
        <w:jc w:val="center"/>
        <w:textAlignment w:val="auto"/>
        <w:rPr>
          <w:highlight w:val="none"/>
        </w:rPr>
      </w:pPr>
      <w:bookmarkStart w:id="229" w:name="_GoBack"/>
      <w:bookmarkEnd w:id="229"/>
      <w:r>
        <w:rPr>
          <w:rFonts w:hint="eastAsia" w:ascii="黑体" w:hAnsi="宋体" w:eastAsia="黑体" w:cs="黑体"/>
          <w:color w:val="000000"/>
          <w:sz w:val="44"/>
          <w:szCs w:val="44"/>
          <w:highlight w:val="none"/>
        </w:rPr>
        <w:t>第</w:t>
      </w:r>
      <w:bookmarkEnd w:id="182"/>
      <w:r>
        <w:rPr>
          <w:rFonts w:hint="eastAsia" w:ascii="黑体" w:hAnsi="宋体" w:eastAsia="黑体" w:cs="黑体"/>
          <w:color w:val="000000"/>
          <w:sz w:val="44"/>
          <w:szCs w:val="44"/>
          <w:highlight w:val="none"/>
        </w:rPr>
        <w:t>四章 采购需求</w:t>
      </w:r>
      <w:bookmarkEnd w:id="183"/>
      <w:bookmarkEnd w:id="184"/>
      <w:bookmarkEnd w:id="185"/>
      <w:bookmarkEnd w:id="186"/>
      <w:bookmarkEnd w:id="187"/>
    </w:p>
    <w:p w14:paraId="55BB5D3D">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shd w:val="clear" w:color="auto" w:fill="auto"/>
        </w:rPr>
      </w:pPr>
      <w:bookmarkStart w:id="195" w:name="_Toc49090575"/>
      <w:bookmarkStart w:id="196" w:name="_Toc26554093"/>
      <w:r>
        <w:rPr>
          <w:rFonts w:hint="eastAsia" w:ascii="宋体" w:hAnsi="宋体" w:eastAsia="宋体" w:cs="宋体"/>
          <w:color w:val="000000"/>
          <w:sz w:val="24"/>
          <w:szCs w:val="24"/>
          <w:highlight w:val="none"/>
        </w:rPr>
        <w:t>项目属性:货物类项目</w:t>
      </w:r>
      <w:r>
        <w:rPr>
          <w:rFonts w:hint="eastAsia" w:ascii="宋体" w:hAnsi="宋体" w:eastAsia="宋体" w:cs="宋体"/>
          <w:color w:val="000000"/>
          <w:sz w:val="24"/>
          <w:szCs w:val="24"/>
          <w:highlight w:val="none"/>
          <w:shd w:val="clear" w:color="auto" w:fill="auto"/>
        </w:rPr>
        <w:t>。</w:t>
      </w:r>
      <w:bookmarkEnd w:id="195"/>
      <w:bookmarkEnd w:id="196"/>
    </w:p>
    <w:p w14:paraId="22C56841">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采购需求包括拟采购的标的及其需要满足的技术、商务要求。</w:t>
      </w:r>
    </w:p>
    <w:p w14:paraId="0A9C7EB1">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2E75B6" w:themeColor="accent1" w:themeShade="BF"/>
          <w:sz w:val="24"/>
          <w:szCs w:val="24"/>
          <w:highlight w:val="none"/>
        </w:rPr>
      </w:pPr>
      <w:r>
        <w:rPr>
          <w:rFonts w:hint="eastAsia" w:ascii="宋体" w:hAnsi="宋体" w:eastAsia="宋体" w:cs="宋体"/>
          <w:color w:val="2E75B6" w:themeColor="accent1" w:themeShade="BF"/>
          <w:sz w:val="24"/>
          <w:szCs w:val="24"/>
          <w:highlight w:val="none"/>
        </w:rPr>
        <w:t>（一）技术要求是指对采购标的功能和质量要求，包括性能、材料、结构、外观、安全，或者服务内容和标准等。</w:t>
      </w:r>
    </w:p>
    <w:p w14:paraId="0F163B41">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2E75B6" w:themeColor="accent1" w:themeShade="BF"/>
          <w:sz w:val="24"/>
          <w:szCs w:val="24"/>
          <w:highlight w:val="none"/>
        </w:rPr>
      </w:pPr>
      <w:r>
        <w:rPr>
          <w:rFonts w:hint="eastAsia" w:ascii="宋体" w:hAnsi="宋体" w:eastAsia="宋体" w:cs="宋体"/>
          <w:color w:val="2E75B6" w:themeColor="accent1" w:themeShade="BF"/>
          <w:sz w:val="24"/>
          <w:szCs w:val="24"/>
          <w:highlight w:val="none"/>
        </w:rPr>
        <w:t>（二）商务要求是指取得采购标的的时间、地点、财务和服务要求，包括交付（实施）的时间（期限）和地点（范围），付款条件（进度和方法），包装和运输，售后服务，保险等。</w:t>
      </w:r>
    </w:p>
    <w:p w14:paraId="091A20A0">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2" w:firstLineChars="200"/>
        <w:jc w:val="both"/>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lang w:eastAsia="zh-CN"/>
        </w:rPr>
        <w:t>）采购清单如下：</w:t>
      </w:r>
    </w:p>
    <w:tbl>
      <w:tblPr>
        <w:tblStyle w:val="10"/>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907"/>
        <w:gridCol w:w="5078"/>
        <w:gridCol w:w="1045"/>
        <w:gridCol w:w="1060"/>
      </w:tblGrid>
      <w:tr w14:paraId="7D55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8837" w:type="dxa"/>
            <w:gridSpan w:val="5"/>
            <w:shd w:val="clear" w:color="auto" w:fill="E7E6E6" w:themeFill="background2"/>
            <w:vAlign w:val="center"/>
          </w:tcPr>
          <w:p w14:paraId="14958447">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包一</w:t>
            </w:r>
          </w:p>
        </w:tc>
      </w:tr>
      <w:tr w14:paraId="4DA0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47" w:type="dxa"/>
            <w:vAlign w:val="center"/>
          </w:tcPr>
          <w:p w14:paraId="6D1C13B7">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序号</w:t>
            </w:r>
          </w:p>
        </w:tc>
        <w:tc>
          <w:tcPr>
            <w:tcW w:w="907" w:type="dxa"/>
            <w:vAlign w:val="center"/>
          </w:tcPr>
          <w:p w14:paraId="18365122">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货物</w:t>
            </w:r>
          </w:p>
          <w:p w14:paraId="58200328">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名称</w:t>
            </w:r>
          </w:p>
        </w:tc>
        <w:tc>
          <w:tcPr>
            <w:tcW w:w="5078" w:type="dxa"/>
            <w:vAlign w:val="center"/>
          </w:tcPr>
          <w:p w14:paraId="45C6FFCD">
            <w:pPr>
              <w:pStyle w:val="22"/>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val="0"/>
                <w:bCs/>
                <w:color w:val="000000"/>
                <w:sz w:val="15"/>
                <w:szCs w:val="15"/>
                <w:highlight w:val="none"/>
                <w:vertAlign w:val="baseline"/>
                <w:lang w:eastAsia="zh-CN"/>
              </w:rPr>
            </w:pPr>
            <w:r>
              <w:rPr>
                <w:rFonts w:hint="eastAsia"/>
                <w:b w:val="0"/>
                <w:bCs/>
                <w:sz w:val="15"/>
                <w:szCs w:val="15"/>
                <w:lang w:bidi="ar"/>
              </w:rPr>
              <w:t>详细参数</w:t>
            </w:r>
          </w:p>
        </w:tc>
        <w:tc>
          <w:tcPr>
            <w:tcW w:w="1045" w:type="dxa"/>
            <w:vAlign w:val="center"/>
          </w:tcPr>
          <w:p w14:paraId="4BD977AF">
            <w:pPr>
              <w:pStyle w:val="22"/>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val="0"/>
                <w:bCs/>
                <w:color w:val="000000"/>
                <w:sz w:val="15"/>
                <w:szCs w:val="15"/>
                <w:highlight w:val="none"/>
                <w:vertAlign w:val="baseline"/>
                <w:lang w:eastAsia="zh-CN"/>
              </w:rPr>
            </w:pPr>
            <w:r>
              <w:rPr>
                <w:rFonts w:hint="eastAsia"/>
                <w:b w:val="0"/>
                <w:bCs/>
                <w:sz w:val="15"/>
                <w:szCs w:val="15"/>
                <w:lang w:bidi="ar"/>
              </w:rPr>
              <w:t>数量</w:t>
            </w:r>
          </w:p>
        </w:tc>
        <w:tc>
          <w:tcPr>
            <w:tcW w:w="1060" w:type="dxa"/>
            <w:vAlign w:val="center"/>
          </w:tcPr>
          <w:p w14:paraId="1BD42DF5">
            <w:pPr>
              <w:pStyle w:val="22"/>
              <w:keepNext w:val="0"/>
              <w:keepLines w:val="0"/>
              <w:pageBreakBefore w:val="0"/>
              <w:widowControl w:val="0"/>
              <w:kinsoku/>
              <w:wordWrap/>
              <w:overflowPunct/>
              <w:topLinePunct w:val="0"/>
              <w:autoSpaceDE/>
              <w:autoSpaceDN/>
              <w:bidi w:val="0"/>
              <w:adjustRightInd/>
              <w:snapToGrid w:val="0"/>
              <w:spacing w:line="240" w:lineRule="auto"/>
              <w:ind w:firstLine="0" w:firstLineChars="0"/>
              <w:textAlignment w:val="auto"/>
              <w:rPr>
                <w:rFonts w:hint="eastAsia" w:ascii="宋体" w:hAnsi="宋体" w:eastAsia="宋体" w:cs="宋体"/>
                <w:b w:val="0"/>
                <w:bCs/>
                <w:color w:val="000000"/>
                <w:sz w:val="15"/>
                <w:szCs w:val="15"/>
                <w:highlight w:val="none"/>
                <w:vertAlign w:val="baseline"/>
                <w:lang w:eastAsia="zh-CN"/>
              </w:rPr>
            </w:pPr>
            <w:r>
              <w:rPr>
                <w:rFonts w:hint="eastAsia"/>
                <w:b w:val="0"/>
                <w:bCs/>
                <w:sz w:val="15"/>
                <w:szCs w:val="15"/>
                <w:lang w:bidi="ar"/>
              </w:rPr>
              <w:t>对应中小企业划分标准所属行业</w:t>
            </w:r>
          </w:p>
        </w:tc>
      </w:tr>
      <w:tr w14:paraId="4DB07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47" w:type="dxa"/>
            <w:vAlign w:val="center"/>
          </w:tcPr>
          <w:p w14:paraId="36648213">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1</w:t>
            </w:r>
          </w:p>
        </w:tc>
        <w:tc>
          <w:tcPr>
            <w:tcW w:w="907" w:type="dxa"/>
            <w:vAlign w:val="center"/>
          </w:tcPr>
          <w:p w14:paraId="431CB0AC">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消防安全腰带</w:t>
            </w:r>
          </w:p>
        </w:tc>
        <w:tc>
          <w:tcPr>
            <w:tcW w:w="5078" w:type="dxa"/>
            <w:vAlign w:val="center"/>
          </w:tcPr>
          <w:p w14:paraId="23A4D0BF">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1、结构组成：安全腰带由织带、带扣、D 型环和移动板组成。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2、主要应用场景：供消防员在灭火救援、抢险救灾或日常训练中防止坠落用，也可用于紧急情况下的逃生自救。</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▲4、出具的检测检验报告应包含检测标准依据：XF494-2004《消防用防坠落装备》。</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▲5、采用尼龙和热锻铝合金材质，采取固定与移动相结合的D型环设计，主体颜色为藏蓝色。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▲6、款式：插扦改良式。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▲7、织带。尼龙66材质，织带为整根，不应有接缝，具有一定硬度，末端收尾为整烫圆弧型。</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▲8、带扣。热锻铝7075合金材质。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9、扦针：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9.1不锈钢420材质，双扦针。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9.2直径应与带扣、扦针孔适配。</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10、D型环：</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10.1热锻铝7075合金材质，配置两个D型环。</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10.2其中一个D型环采用缝合固定，距带扣100mm±2处；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10.3另一个D型环采用移动板和D型环组合结构，可自由调节。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▲11、扦针孔。优质不锈钢材质，直径12±1mm，距带尾部200mm±4处成双排六列型式向前等距排列。</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12、收带扣、移动板、缝线为尼龙66材质。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▲13、织带：藏蓝色，色差：≥3级；带扣、D型环：铝本色；保护盖、移动板、收带扣：黑色；缝线：颜色为灰色。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▲14、正立方向静拉力：≥15KN。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15、腰带质量≤0.8kg。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16、说明书或单独电子档必须有此项装备基础数据如：名称，产地，品牌型号，保质期，出厂时间，使用范围，性能参数，组成部分，注意事项及维护保养。</w:t>
            </w:r>
          </w:p>
        </w:tc>
        <w:tc>
          <w:tcPr>
            <w:tcW w:w="1045" w:type="dxa"/>
            <w:vAlign w:val="center"/>
          </w:tcPr>
          <w:p w14:paraId="35EE4EC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40</w:t>
            </w:r>
          </w:p>
        </w:tc>
        <w:tc>
          <w:tcPr>
            <w:tcW w:w="1060" w:type="dxa"/>
            <w:vAlign w:val="center"/>
          </w:tcPr>
          <w:p w14:paraId="4BB00EB7">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工业</w:t>
            </w:r>
          </w:p>
        </w:tc>
      </w:tr>
      <w:tr w14:paraId="467E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47" w:type="dxa"/>
            <w:vAlign w:val="center"/>
          </w:tcPr>
          <w:p w14:paraId="33E4FCA2">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2</w:t>
            </w:r>
          </w:p>
        </w:tc>
        <w:tc>
          <w:tcPr>
            <w:tcW w:w="907" w:type="dxa"/>
            <w:vAlign w:val="center"/>
          </w:tcPr>
          <w:p w14:paraId="388E12ED">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消防员呼救器</w:t>
            </w:r>
          </w:p>
        </w:tc>
        <w:tc>
          <w:tcPr>
            <w:tcW w:w="5078" w:type="dxa"/>
            <w:vAlign w:val="center"/>
          </w:tcPr>
          <w:p w14:paraId="71AB6896">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▲1、结构组成：主要由主机、钥匙卡、充电器构成。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2、主要应用场景：用于消防员灭火救援作业中个人防护。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▲4、出具的检测检验报告应包含检测标准依据：GB27900-2011《消防员呼救器》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报警功能：①具备预报警功能：呼救器处于自动工作状态时，具有预报警功能。当静止时间超过允许静止时间时，应发出快速的断续预报警声响信号。在预报警期间，呼救器工作方位发生变化或呼救器作速率不小于 5m/s 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6、低电压告警功能：当呼救器供电电池的电压低于额定电压的 80%时，应发出区别于预报警声响信号的慢速断续告警声响信号或光信号。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▲7、通信功能：呼救器处于报警状态时，发出报警声响信号和方位指示频闪光信号。同时，呼救器应能发射信号至接收终端予以识别，并能接收并识别来自接收终端发射的信号。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8、转换开关：应设置“关-手动-自动”转换开关。转换开关应灵活可靠、坚固耐用，并有防误动作结构。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9、允许静止时间：30±2S。</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10、预报警时间：15±2S。</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11、预报警声级强度：≥80dB。</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12、报警声级强度：≥100dB。</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13、低电压告警声级强度：≥65dB。</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14、连续工作时间：连续开机时间：≥24h；连续报警时间：≥900min。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15、质量：≤230g。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16、绝缘性能 MΩ ：正常情况 ≥50，湿热试验后 ≥10。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17、防水性能：呼救器置于水深为 1.5m的容器内 2h，应无水渗入呼救器内，呼救器应能正常工作。</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18、耐气候环境性能：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高温试验：允许静止时间（s）30±2；预报警时间（s）15+2；预报警声级强度（dB）≥80，报警声级强度（dB）≥100。低温试验：允许静止时间（s）30±2；预报警时（s）15±2；预报警声级强度（dB）≥80；报警声级强度（dB）≥100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（2）交变湿热试验：允许静止时间（s）30±2；预报警时间（s）15±2；预报警声级强度（dB）≥80；报警声级强度（dB）≥100。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高温贮存试验：允许静止时间（s）30±2；预报警时间（s）15±2；预报警声级强度（dB）≥80；报警声级强度（dB）≥100。低温贮存试验允许静止时间（s）30±2；预报警时间（s）15±2；预报警声级强度（dB）≥80；报警声级强度（dB）≥100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19、耐机械环境性能：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（1）振动(正弦)试验：结构呼救器不应有机械损伤和紧固部位松动现象。允许静止时间（s）30±2；预报警时间（s）15±2；预报警声级强度（dB）≥80；报警声级强度（dB）≥100。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（2）冲击试验：结构呼救器不应有机械损伤和紧固部位松动现象。允许静止时间（s）30±2；预报警时间（s）15±2；预报警声级强度（dB）≥80；报警声级强度（dB）≥100。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（3）自由跌落试验：结构呼救器不应有机械损伤和紧固部位松动现象。允许静止时间（s）30±2；预报警时间（s）15±2；预报警声级强度（dB）≥80；报警声级强度（dB）≥100。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20、发射频率工作频段或频点：通信型呼救器发射频率应符合国家无线电管理委员会指定的工作频段或频点及相关要求。频率误差：kHz 发射频率不应大于±25kHz。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▲21、通信距离，m≥2000。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22、发光亮度，cd/m2≥300。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▲23、模拟烟雾环境方位指示性能在浓烟环境中，应可指示呼救器方位。</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24、产品标志产品上应标有如下内容：1）产品名称、型号；2）生产厂名；3）生产日期；4）防爆标志；5）执行标准代号。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▲25、防爆标志：Ex ib ⅡC T4 Gb，并提供国家防爆产品质量检验中心出具的防爆合格证。</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▲26、防护等级：≥IP68。</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27、显示屏：≥1.54 寸 LCM 液晶显示屏，实时显示工作时间、电池电量、环境温度等信息。</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28、外壳需采用防静电橡胶包胶工艺，具有较强的抗冲击、阻燃、耐高温性能及可靠的防水、防尘功能，跌落抗摔性能要求。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29、使用带有姓名的钥匙开、关机，开机后姓名钥匙保存于后场，可代替现场身份登记。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30、个人信息黑匣子功能，所有报警事件均被记录，可供事后分析。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31、具备计时提醒功能。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32、实时显示环境温度，温度高于设定阈值（默认能 50℃）自动报警。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33、具有联动报警响应功能，其中一具呼救器发出求救报警，同组呼救器可自动接收求救报警信号并发出搜救提示。</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34、具有相对定位搜救功能，可根据同组报警呼救器的信号强度判断搜救方向以及与被搜救者的楼层高度信息，定位精度＜2.5m。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35、内置 GPS/北斗定位功能，可将数据传至所属消防单位控制中心，同时支持呼救器场外指挥控制管理。</w:t>
            </w:r>
          </w:p>
        </w:tc>
        <w:tc>
          <w:tcPr>
            <w:tcW w:w="1045" w:type="dxa"/>
            <w:vAlign w:val="center"/>
          </w:tcPr>
          <w:p w14:paraId="7A93B9A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40</w:t>
            </w:r>
          </w:p>
        </w:tc>
        <w:tc>
          <w:tcPr>
            <w:tcW w:w="1060" w:type="dxa"/>
            <w:vAlign w:val="center"/>
          </w:tcPr>
          <w:p w14:paraId="6C4B8F72">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6F07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47" w:type="dxa"/>
            <w:vAlign w:val="center"/>
          </w:tcPr>
          <w:p w14:paraId="0CDC11DF">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3</w:t>
            </w:r>
          </w:p>
        </w:tc>
        <w:tc>
          <w:tcPr>
            <w:tcW w:w="907" w:type="dxa"/>
            <w:vAlign w:val="center"/>
          </w:tcPr>
          <w:p w14:paraId="14CF3642">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应急逃生自救安全绳</w:t>
            </w:r>
          </w:p>
        </w:tc>
        <w:tc>
          <w:tcPr>
            <w:tcW w:w="5078" w:type="dxa"/>
            <w:vAlign w:val="center"/>
          </w:tcPr>
          <w:p w14:paraId="695B1E78">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1、结构组成：安全绳1根、多功能阻燃绳包1个、轻型安全钩2个、轻型下降器1个、连接扁带1根、排绳器等。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2、主要应用场景：该系统适用于消防员在灭火救援、抢险救援等救援现场出现危急情况下的逃生自救。</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▲4、出具的检测检验报告应包含检测标准依据：XF494-2004《消防用防坠落装备》</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5、直径（绳索）：≥8.0mm。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▲6、单位长度质量（绳索）：≤45.0g/m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7、延伸率%（绳索）：4%-10%。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▲8、破断强度（绳索）：≥35kN。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9、绳包功能及材料要求：能合理放置安全钩、下降器，能携带于安全腰带上，经 260℃高温试验后无明显变化（5min）。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10、外观、结构和标志（绳索）：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（1）绳索为连续结构，主承重部分由连续纤维制成。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（2）绳索为包芯绳结构。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（3）绳索表面无任何机械损伤现象，整绳粗细均匀，结构一致，一端为绳环结构并扣入安全钩，另一端热封后有塑胶包裹。</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（4）绳包翻盖位置有产品铭牌，其内容为产品型号，用途，生产厂名，批号和生产日期。</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11、破断负荷（下降器）：下降器承受13.5kN 试验负荷后，持续作用30s，试样未出现故障。</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12、外观（下降器）：在显著位置处有产品型号，用途，商标，批号和生产日期，下降器外部标注穿绳方向和安全提醒。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13、耐盐雾腐蚀性能（下降器）：经 48h 中性盐雾试验后，外观符合 GB/T6461-2002 外观等级评定轻微级的要求。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14、破断强度（安全钩）：闭口长轴≥40kN（中部断裂），闭口短轴≥11kN（中部断裂），开口长轴≥11kN（中部断裂）。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15、耐盐雾腐蚀性能（安全钩）：经 48h 中性盐雾试验后，外观符合 GB/T6461-2002 外观等级评定轻微级的要求。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16、绳索长度及标识：绳索的4m，8m，12m，16m处均设有标识，绳体上有连续反光标识。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17、高温环境承载性能（绳索）：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（1）将试样安装在拉力机上，控制力值 1.33kN，进行保载，随后使用表显600℃的数显调温热风枪吹风加热，测试距离5cm，加热 45s 后，经观察试样未发生断裂。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（2）将试样安装在拉力机上，控制力值 1.33kN，进行保载，随后使用表显 400℃的数显调温热风枪吹风加热， 测试距离5cm，加热 300s 后，经观察试样未发生断裂。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18、高温环境承载性能（扁带）：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（1）将试样安装在拉力机上，控制力值 1.33kN，进行保载，随后使用表显 600℃的数显调温热风枪吹风加热，测试距离5cm，加热 45s 后，经观察试样未发生断裂。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（2）将试样安装在拉力机上，控制力值 1.33kN，进行保载，随后使用表显 400℃的数显调温热风枪吹风加热， 测试距离5cm，加热 300s 后，经观察试样未发生断裂。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▲19、套装构成：套装至少包括自救型安全绳 1根，绳包1个，轻型安全钩2个，轻型下降器1个，扁带1根。</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20、耐高温性能（绳索和扁带）：经 204℃，5min 的耐高温性能试验后，绳索和扁带未出现熔融、焦化现象。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▲21、破断强度（扁带）：≥40kN（中部断裂）。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▲22、套装总质量：≤1.5kg。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▲23、安全绳长度：≥16m。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24、安全绳为包芯绳结构，安全绳索外皮、内芯均为阻燃耐高温材质（外皮、内芯均为 Kevlar芳纶长丝纤维材质）。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25、绳包设计有安全绳防止缠绕、垂降墙角保护等功能，有防水或泄水功能，能合理放置安全钩、下降器。</w:t>
            </w:r>
          </w:p>
        </w:tc>
        <w:tc>
          <w:tcPr>
            <w:tcW w:w="1045" w:type="dxa"/>
            <w:vAlign w:val="center"/>
          </w:tcPr>
          <w:p w14:paraId="0A2ACD5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40</w:t>
            </w:r>
          </w:p>
        </w:tc>
        <w:tc>
          <w:tcPr>
            <w:tcW w:w="1060" w:type="dxa"/>
            <w:vAlign w:val="center"/>
          </w:tcPr>
          <w:p w14:paraId="1D6E860F">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F399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47" w:type="dxa"/>
            <w:vAlign w:val="center"/>
          </w:tcPr>
          <w:p w14:paraId="75DF933C">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4</w:t>
            </w:r>
          </w:p>
        </w:tc>
        <w:tc>
          <w:tcPr>
            <w:tcW w:w="907" w:type="dxa"/>
            <w:vAlign w:val="center"/>
          </w:tcPr>
          <w:p w14:paraId="7F4538AA">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正压式消防空气呼吸器</w:t>
            </w:r>
          </w:p>
        </w:tc>
        <w:tc>
          <w:tcPr>
            <w:tcW w:w="5078" w:type="dxa"/>
            <w:vAlign w:val="center"/>
          </w:tcPr>
          <w:p w14:paraId="7B670B7E">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1、结构组成：产品由气瓶，全面罩、供气阀、减压阀、导气管、警报器、背架、压力平视装置等组成。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2、主要应用场景：缺氧或有毒现场作业时的呼吸防护。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▲4、出具的检测检验报告应包含检测标准依据：XF124-2013《正压式消防空气呼吸器》。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5、材料和结构：背具，背具带，带扣，气瓶保护套，全面罩，导气管，供气阀，整机气密性非金属高压部件强度等符合国家XF124-2013标准。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材料阻燃性能：背具，背具带，带扣，气瓶保护套，全面罩，导气管，供气阀阻燃性能试验后，不应出现熔融现象，续燃时间≤5s。整机气密性能：压力指示值在1min内的下降≤1MPa。抗热老化性能，整机气密性能：压力指示值在1 min内的下降≤1MPa，非金属高压部件，中压导气管强度，符合标准。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7、佩戴质量≤13kg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8、整机气密性，在气密性能试验后，其压力表的压力指示值在1 min内的下降≤1MPa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▲9、动态呼吸器阻力，在气瓶压力≥30MPa，吸气阻力≤250 Pa，呼气阻力≤650Pa；在气瓶压力≥2MPa，吸气阻力≤220 Pa，呼气阻力≤570Pa。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▲10、耐高温试验后，呼气阻力≤650Pa。耐低温试验后，呼气阻力≤580Pa。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11、耐辐射热性能试验后，在气密性能试验后，其压力表的压力指示值在1 min内的下降≤1MPa，全面罩保持正压，在气瓶压力≥30MPa，吸气阻力≤50 Pa，呼气阻力≤750Pa。静态压力≤200 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12、静态压力≤250 Pa，且不大于排气阀的开启压力。</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13、报警哨性能：报警哨压力≤5.5Mpa,连续声响时间≥90dB(A)的声强持续≥15秒。报警器继续报警符合标准，平均耗气量≤5L/min.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全面罩总视野保留率≥78%，双目视野保留率≥65%，镜面透光率≥96%，吸入空气中二氧化碳含量≤0.88%。可按要求选配一体式面罩用于消防全盔和抢险救援头盔配合使用，符合当前消防使用的安全和便捷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15、减压器输出压力在≤0.5 MPa ~≤0.7 MPa。压力调整部分设置有锁紧装置和安全阀。</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16、安全阀性能：关闭压力不小于减压器压力最大设计值≤0.90MPa。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17、设置自动正压机构。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18、压力表设计符合标准，压力表精度高且带有夜光显示功能，显示精度≥1.6级，防水性能经24h水下1m的浸泡后，压力表内不应有水。其漏气量≤15L/min。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19、连接强度≥250N。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20、金属高压部件强度经气瓶公称工作压力的1.5倍水压试验后，无渗漏和异常变形。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21、中压导气管不妨碍佩戴者工作和头部自由活动，且不干扰供气阀同面罩的连接。耐挤压性能：中压导气管经挤压试验后，空气流量的降低≤5%。试验结束5min后，无可观察到的扭曲。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22、输出接头的尺寸12（±0.05），符合标准。输入接头与输出接头的连接方便可靠，连接后不漏气。</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23、气瓶瓶阀:安全膜片爆破压力在气瓶阀具有安全爆破膜片压力值设置为≥37MPa。输出端螺纹长度≥18mm。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气瓶水容积：≥6.8L，全缠绕式碳纤复合材料:内胆采用高强度、耐腐蚀、重量轻的铝合金材料，工作压力≥30MPa，水压试验压力≥50MPa，瓶口螺纹：≥M18X1.5，符合GB/T28053-2011《呼吸器用复合气瓶》规定，爆破压力达工作压力的≥3.4倍以上，气瓶阀有安全保护膜片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25、标志：整套空呼具有消防标识，厂家信息，型号，合格证和中文说明书。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26、全面罩视野开阔，采用凯夫拉五点式网状头带，镜面防雾、防划、抗冲击，无视觉扭曲，面罩具有视窗除结雾功能。具备免工具手动拆解清洗维护功能。接头全方向360度旋转，吸气自动供气，无需辅助按钮，供气阀可免工具拆解清洗，可内置眼镜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27、腰带可随使用者运动而自行旋转。腰带上有供气阀固定座，肩带有反光条，气瓶固定带便于伸缩，带有快调锁止机构。气瓶带有橡胶保护套的压力表，气瓶配有阻燃橘红色保护袋。</w:t>
            </w:r>
          </w:p>
        </w:tc>
        <w:tc>
          <w:tcPr>
            <w:tcW w:w="1045" w:type="dxa"/>
            <w:vAlign w:val="center"/>
          </w:tcPr>
          <w:p w14:paraId="11FF4A8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40</w:t>
            </w:r>
          </w:p>
        </w:tc>
        <w:tc>
          <w:tcPr>
            <w:tcW w:w="1060" w:type="dxa"/>
            <w:vAlign w:val="center"/>
          </w:tcPr>
          <w:p w14:paraId="136269EC">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28597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47" w:type="dxa"/>
            <w:vAlign w:val="center"/>
          </w:tcPr>
          <w:p w14:paraId="11FD83B9">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5</w:t>
            </w:r>
          </w:p>
        </w:tc>
        <w:tc>
          <w:tcPr>
            <w:tcW w:w="907" w:type="dxa"/>
            <w:vAlign w:val="center"/>
          </w:tcPr>
          <w:p w14:paraId="5984E69C">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佩戴式防爆照明灯</w:t>
            </w:r>
          </w:p>
        </w:tc>
        <w:tc>
          <w:tcPr>
            <w:tcW w:w="5078" w:type="dxa"/>
            <w:vAlign w:val="center"/>
          </w:tcPr>
          <w:p w14:paraId="2C0E9F25">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1、结构组成：灯头光源、TYPE-C充电口、灯身组件、电池、尾盖组件、电量显示组件。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2、主要应用场景：适用于消防行业各种火灾现场灭火救援及户外、野外等场所的抢险救援等单兵佩戴式照明。</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▲4、出具的检测检验报告应包含检测标准依据：GB30734-2014《消防员照明灯具》。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▲5、提供国家防爆产品质量检验中心出具的防爆合格证。</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▲6、灯具的供电电源采用可充电池；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▲8、灯 具 的 防 爆 性 能 应 符 合GB3836.1-2010 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▲9、佩戴式灯具应具有与消防头盔匹配的固定连接件。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10、功能要求：灯具应具有强、弱光切换功能；灯具应具有闪烁方式的低电压告警功能。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照度：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 佩戴式强光平均值 ≥2000Lx，佩戴式强光最小值≥1000Lx。</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▲13、佩戴式弱光平均值≥600Lx。</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14、佩戴式弱光最小值≥580Lx。</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▲15、连续稳定工作时间：佩戴式强光≥240min，佩戴式弱光≥480min。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16、低电压报警时间：强光≦13s，弱光≦13s。</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17、低电压状态下连续工作时间：强光≥15min，弱光≥30min。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18、绝缘性能：在常温环境下，灯具带电端子与外壳间的绝缘电阻应不小于 20MΩ，交变温热试验后应不小于 5MΩ。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20、低温性能：温度-25±2℃，持续时间2h，试验后，灯具应能正常进行开、关和强、弱光切换。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21、高温性能：温度 55±2℃，持续时间2h，试验后，灯具应能正常进行开、关和强、弱光切换。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23、低温贮存：温度-40±2℃，持续时间：16h，常温恢复时间：8h，试验后，灯具应能正常进行开、关和强、弱光切换。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24、高温贮存：温度70±2℃，持续时间：16h，常温恢复时间：8h，试验后，灯具应能正常进行开、关和强、弱光切换。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25、抗振动性能：频率循环范围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▲26、抗跌落性能：佩戴式跌落高度 1.5m，跌落方向 X、Y、Z，每个轴向跌落次数 1 次，试验后，灯具应能正常进行开、关和强、弱光切换。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27、开关可靠性：灯具的开关经50000次可靠性试验后应保持完好，且灯具应能正常点亮并实现强、弱光切换。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▲28、外壳防护等级灯具的外壳防护等级为 IP68，潜水深度5m，持续时间不少于 1h。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29、灯具标志：灯具的明显位置处应有清晰且与灯具为一体的标志，包括以下内容：a)产品名称；b)产品型号；c)防护等级（等级为IP68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30、充电器标志：充电器的明显位置处应有清晰、耐久的标志，包括以下内容：a)产品名称；b)产品型号；c)适配灯具型号；d)生产日期；e)产品编号；f)生产厂名称。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31、额定电压：≥DC3.7V。</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32、额定容量：≥1.8Ah。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33、光源功率：3W。</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34、充电时间：≤5h。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35、外形尺寸：≤φ23×120mm。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36、具有优质选材铜基板设计，可大幅提升 LED 光源散热性能，提升光源使用寿命及光效。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37、灯具尾部需有大开关设计，可满足佩戴手套进行灯具的开关操作和强弱爆闪光的切换。尾部开关同时具有信号指示作用，当灯具打开时，尾部开关为红色信号指示灯，可视距离需大于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38、灯具需具有清晰的4段式LED 电量指示装置，可实时显示电池电量剩余情况及充电进行状态。</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39、充电口需采用type-C 充电接口，适用所有USB输出端口进行充电，方便快捷。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40、为灯具提供头灯集中充电的充电箱，每箱可同时满足至少8套灯具一起插入充电，充电箱可接入市电、车载两种通电模式，简单便捷，满足消防员各种紧急需求。根据20：1的比例配置集中充电箱（就上取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▲41、可提供8种以上（采购方选择1种）不同类型的头盔支架，确保主流头盔的配对使用。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42、电量显示功能。</w:t>
            </w:r>
          </w:p>
        </w:tc>
        <w:tc>
          <w:tcPr>
            <w:tcW w:w="1045" w:type="dxa"/>
            <w:vAlign w:val="center"/>
          </w:tcPr>
          <w:p w14:paraId="395BB35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36</w:t>
            </w:r>
          </w:p>
        </w:tc>
        <w:tc>
          <w:tcPr>
            <w:tcW w:w="1060" w:type="dxa"/>
            <w:vAlign w:val="center"/>
          </w:tcPr>
          <w:p w14:paraId="0354D7CD">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359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3095A343">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auto"/>
                <w:sz w:val="15"/>
                <w:szCs w:val="15"/>
                <w:highlight w:val="none"/>
                <w:vertAlign w:val="baseline"/>
                <w:lang w:val="en-US" w:eastAsia="zh-CN"/>
              </w:rPr>
            </w:pPr>
            <w:r>
              <w:rPr>
                <w:rFonts w:hint="eastAsia" w:ascii="宋体" w:hAnsi="宋体" w:eastAsia="宋体" w:cs="宋体"/>
                <w:color w:val="auto"/>
                <w:sz w:val="15"/>
                <w:szCs w:val="15"/>
                <w:highlight w:val="none"/>
                <w:vertAlign w:val="baseline"/>
                <w:lang w:val="en-US" w:eastAsia="zh-CN"/>
              </w:rPr>
              <w:t>6</w:t>
            </w:r>
          </w:p>
        </w:tc>
        <w:tc>
          <w:tcPr>
            <w:tcW w:w="907" w:type="dxa"/>
            <w:vAlign w:val="center"/>
          </w:tcPr>
          <w:p w14:paraId="5DFDAF2A">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auto"/>
                <w:sz w:val="15"/>
                <w:szCs w:val="15"/>
                <w:highlight w:val="none"/>
                <w:vertAlign w:val="baseline"/>
                <w:lang w:val="en-US" w:eastAsia="zh-CN"/>
              </w:rPr>
            </w:pPr>
            <w:r>
              <w:rPr>
                <w:rFonts w:hint="eastAsia" w:ascii="宋体" w:hAnsi="宋体" w:eastAsia="宋体" w:cs="宋体"/>
                <w:color w:val="auto"/>
                <w:sz w:val="15"/>
                <w:szCs w:val="15"/>
                <w:highlight w:val="none"/>
                <w:vertAlign w:val="baseline"/>
                <w:lang w:val="en-US" w:eastAsia="zh-CN"/>
              </w:rPr>
              <w:t>消防腰斧</w:t>
            </w:r>
          </w:p>
        </w:tc>
        <w:tc>
          <w:tcPr>
            <w:tcW w:w="5078" w:type="dxa"/>
            <w:vAlign w:val="center"/>
          </w:tcPr>
          <w:p w14:paraId="277427B6">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1、结构组成：由多功能腰斧和腰斧套组成。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2、主要应用场景：具备能砍、能凿、能撬等性能，个人防护工具。"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1、★符合XF 630-2006《消防腰斧》标准要求并提供国家级检验机构出具的检验报告。"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▲1、基本尺寸（mm）：全长285±2.5，斧头长度160±2.5，斧头厚度10±1，平刃宽度56±1.5，柄刃宽度22±1，撬口宽度30±1，撬口深度25±1。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外观要求：腰斧各刃部应抛光，其表面粗糙度Ra值不应大于6.3μm；腰斧金属表面应平整光洁，不应有裂纹、毛刺、凹痕、缺损或有害杂质等缺陷，涂漆部分不应有流痕气泡等缺陷；橡胶斧柄套应无碎渣、气泡、孔隙、夹杂物及其它明显缺陷，表面花纹应清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▲3、质量≤0.9kg。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▲4、硬度：腰斧各刃部和撬口均应经热处理，且其硬度均应达到48HRC-56HRC,刃部热处理长度应不小于20mm且不大于40mm,撬口热处理长度应不小于 5mm且不大于10mm。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5、抗冲击性能：腰斧各刃部经5kg的重锤冲击后，不应有裂纹、变形等损伤。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▲6、平刃砍断性能：腰斧平刃应能砍断直径6.5mm的Q235A圆钢，应无明显缺刃、卷边和裂纹等影响使用功能的损伤。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▲7、尖刃和柄刃凿击性能：腰斧尖刃和柄刃应能凿击Q235A钢平板，应无明显缺刃、卷边和裂纹等影响使用功能的损伤。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8、耐腐蚀性能：腰斧的金属部分经GB/T10125- 1997规定的48h中性盐雾试验后， 外观应符合GB6461-2002外观等级评定轻微级的要求。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9、标志：合格。"</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"四、非检验报告内参数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无"</w:t>
            </w:r>
          </w:p>
        </w:tc>
        <w:tc>
          <w:tcPr>
            <w:tcW w:w="1045" w:type="dxa"/>
            <w:vAlign w:val="center"/>
          </w:tcPr>
          <w:p w14:paraId="0A8BA54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36</w:t>
            </w:r>
          </w:p>
        </w:tc>
        <w:tc>
          <w:tcPr>
            <w:tcW w:w="1060" w:type="dxa"/>
            <w:vAlign w:val="center"/>
          </w:tcPr>
          <w:p w14:paraId="43D06615">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0630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742C2CC5">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7</w:t>
            </w:r>
          </w:p>
        </w:tc>
        <w:tc>
          <w:tcPr>
            <w:tcW w:w="907" w:type="dxa"/>
            <w:vAlign w:val="center"/>
          </w:tcPr>
          <w:p w14:paraId="70D29AE2">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消防护目镜</w:t>
            </w:r>
          </w:p>
        </w:tc>
        <w:tc>
          <w:tcPr>
            <w:tcW w:w="5078" w:type="dxa"/>
            <w:vAlign w:val="center"/>
          </w:tcPr>
          <w:p w14:paraId="3B1838D8">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★1、结构组成：由镜架、镜片、头带组成。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2、主要应用场景：为消防救援人员在救援过程中提供眼部防护。"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3、★符合XF1273-2015《消防员防护辅助装备 消防员护目镜》标准要求并提供国家级消防装备检验机构出具的检验报告（报告内需体现参照该标准检验）。"</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4、外观：1、护目镜不应存在让佩戴者感到不适或对使用者造成伤害的突出部分、尖锐边缘或其他缺陷。2、除镜片边缘5mm 宽的区域以外，镜片不应存在气泡、水泡、划痕、凹痕、固体杂质、气体杂质、暗点、斑点、蚀损斑、霉斑、修补斑、蚀孔、碎片、裂纹、抛光缺陷或波纹等表面缺陷。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5、头带：1）调节性：护目镜用于固定作用的头带应可调节。2）宽度：护目镜头带的宽度应不小于10mm。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▲6、质量（g）≤150g。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防护区：当护目镜为单镜片时，其长方形镜片（包括眼罩）的长和宽分别应不小于130mm和50mm，厚度应不大于3.8mm。当护目镜为双镜片时，若镜片为圆形，其镜片直径应不小于60mm。若镜片为不规则形，其单个镜片的水平基准长和宽分别应不小于45mm和40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8、球镜度和柱镜度：球镜度：±0.06D；柱镜度：≤0.06D。</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9、棱镜度和棱镜度互差：左、右镜片的棱镜度：≤0.12；水平方向棱镜度互差：基底向外：≤0.75；基底向内:≤0.25；垂直方向棱镜度互差:≤0.25。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▲10、光透射比：＞85%。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抗高速粒子冲击性能：护目镜应能承受直径为6mm，质量为0.86g，速度≥120+30m/s的钢珠在正面两个冲击点、侧面两个冲击点的冲击试验，试验后不应出现下列缺陷：1、镜片破损：镜片出现碎裂，或表面出现大于5mg的碎片脱落，或钢球穿透了镜片；2、镜片变形：镜片另一面的白纸出现斑痕；3、镜片外框或镜架损坏：镜片外框或镜架出现裂块，或无法再安装镜片，或镜片脱离镜架，外框或镜架被钢球穿透；4、侧面防护损坏：侧面防护片出现碎裂，或从镜片表面的撞击点处脱离，或被钢球完全穿透，或防护镜出现部分或完全的脱落，或部分零件裂开。</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抗重物锥击性能：分别在温度为(55土2)℃和(-20±2)℃环境下持续1h后，护目镜应能承受高度为1270mm、质量不小于500g的锥击重物的冲击，试验后不应出现下列缺陷：1、镜片破损：镜片出现碎裂，或有材料从撞击后的镜片上脱落；2、镜片穿透：弹头尖部穿过镜片；3、镜片牢固性受影响：镜片从防护架或外框中弹出；4、镜片变形：镜片接触头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13、耐热性能：经耐热实验后，护目镜应无异常现象，镜片的光学性能应符合GA1273-2015《消防员防护辅助装备 消防员护目镜》5.6的规定。</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14、镜片防雾性能：在防雾试验期间，护目镜镜片应在8s内不起雾，但最初起雾的0.5s不作为起雾的时间。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15、需配备护目镜收纳盒。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▲16、护目镜头带弹力材料采用天然乳胶带材质且宽度不小于10mm。"</w:t>
            </w:r>
          </w:p>
        </w:tc>
        <w:tc>
          <w:tcPr>
            <w:tcW w:w="1045" w:type="dxa"/>
            <w:vAlign w:val="center"/>
          </w:tcPr>
          <w:p w14:paraId="115DAC2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56</w:t>
            </w:r>
          </w:p>
        </w:tc>
        <w:tc>
          <w:tcPr>
            <w:tcW w:w="1060" w:type="dxa"/>
            <w:vAlign w:val="center"/>
          </w:tcPr>
          <w:p w14:paraId="1B39F29A">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147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4F2BC66B">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8</w:t>
            </w:r>
          </w:p>
        </w:tc>
        <w:tc>
          <w:tcPr>
            <w:tcW w:w="907" w:type="dxa"/>
            <w:vAlign w:val="center"/>
          </w:tcPr>
          <w:p w14:paraId="4DD8C0DE">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手持电台</w:t>
            </w:r>
          </w:p>
        </w:tc>
        <w:tc>
          <w:tcPr>
            <w:tcW w:w="5078" w:type="dxa"/>
            <w:vAlign w:val="center"/>
          </w:tcPr>
          <w:p w14:paraId="3577DA4A">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★1、结构组成：对讲机主机、锂离子电池、电源适配器、锂电充电座、皮带夹、真皮吊绳、天线、备用电池（防爆等级与电台一致）。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2、主要应用场景：用于消防员灭火救援作业中语音通信。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3、提供公安一所PDT入网检测报告证明材料</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4、提供中华人民共和国工业和信息化部颁发的《无线电发射设备型号核准证》证明材料</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5、提供第三方具备CNAS或CMA认证资质的机构出具的相关功能检测报告证明材料</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6、提供国家防爆电气产品质量监督检验中心颁发的《防爆电气设备防爆合格证》证明材料</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7、兼容性：支持接入语音自组网基站；</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★8、频率范围：350-400MHz；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9、输出功率：1~4W可调；（防爆电台1~3.5W可调）</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▲10、显示屏：≥2.0英寸；</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▲11、电池：≥2300mAh；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 信道容量：≥1024；组群：≥32；</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13、信道间隔：12.5KHz；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 频率稳定度：≤±0.5ppm；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15、尺寸：≤135*55*37mm；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 重量：≤390g；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▲17、为保证对讲机良好的接收性能，对讲机数字静态接收灵敏度须≤0.2μV（BER5%）；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 环境指标：工作温度范围：-20℃～+55℃；储存温度范围：-40℃～+65℃；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19、防尘防水等级要求：≥IP68；</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20、为保障对讲机在应急场景下能长时间连续使用，对讲机须配备高容量电池，电池平均工作时间（高功率发射）≥24个小时；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 具有良好的可靠性及耐用性，符合国军标GJB 150A-2009，能够在各种恶劣的工作环境中发挥优异性能；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22、在直通模式下，在近距离 1.5米的下通话，彼此不产生信号干扰；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23、须内置蓝牙模块，不需要蓝牙适配器，蓝牙协议版本不低于Bluetooth V4.0；旋钮支持360°无极型旋转，可循环切换不同的组呼联系人，须提供第三方具备CNAS或CMA认证资质的机构出具的检测报告扫描件加盖投标单位公章；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24、须内置定位模块，支持北斗和GPS定位功能，须提供第三方具备CNAS或CMA认证资质的机构出具的检测报告扫描件加盖投标单位公章；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25、支持多种定位信息上报模式和上传更多内容，包含但不限于主动上报定位信息、通话中上报定位信息、能识别讲话方位置信息显示等功能；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26、须支持智能降噪功能，在噪声环境下讲话，接收方能听到清晰语音，最大可达到25dB，须提供第三方具备CNAS或CMA认证资质的机构出具的检测报告扫描件加盖投标单位公章；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27、须支持远程升级和远程写频；</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28、须支持导水功能，可快速流出进入到麦克风和喇叭的水，须提供第三方具备CNAS或CMA认证资质的机构出具的检测报告扫描件加盖投标单位公章；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29、须支持通知提醒功能，终端会对未接的业务进行提醒，提醒信息中包含多种信息，如业务类型、发起时间，文本业务中还会有部分文本内容，须提供第三方具备CNAS或CMA认证资质的机构出具的检测报告扫描件加盖投标单位公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30、 须支持在终端上查询其他终端的相互位置信息；</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32、支持内置NVOC和AMBE++两个声码器，两个声码器之间可自由切换，且切换不重启；</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33、须提供中华人民共和国工业和信息化部颁发的《无线电发射设备型号核准证》扫描件并加盖单位公章；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★34、符合当地公安数字集群系统接入要求（需提供所投品牌型号已接入当地公安数字集群的电台样机，或当地公安承诺接入说明）并负责具体接入工作。后续为应急 370M提供升级服务；配备加密卡。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规格参数</w:t>
            </w:r>
            <w:r>
              <w:rPr>
                <w:rFonts w:hint="eastAsia" w:ascii="宋体" w:hAnsi="宋体" w:eastAsia="宋体" w:cs="宋体"/>
                <w:i w:val="0"/>
                <w:iCs w:val="0"/>
                <w:color w:val="000000"/>
                <w:kern w:val="0"/>
                <w:sz w:val="15"/>
                <w:szCs w:val="15"/>
                <w:u w:val="none"/>
                <w:lang w:val="en-US" w:eastAsia="zh-CN" w:bidi="ar"/>
              </w:rPr>
              <w:br w:type="textWrapping"/>
            </w:r>
            <w:r>
              <w:rPr>
                <w:rFonts w:ascii="Wingdings 2" w:hAnsi="Wingdings 2" w:eastAsia="Wingdings 2" w:cs="Wingdings 2"/>
                <w:i w:val="0"/>
                <w:iCs w:val="0"/>
                <w:color w:val="000000"/>
                <w:kern w:val="0"/>
                <w:sz w:val="15"/>
                <w:szCs w:val="15"/>
                <w:u w:val="none"/>
                <w:lang w:val="en-US" w:eastAsia="zh-CN" w:bidi="ar"/>
              </w:rPr>
              <w:t></w:t>
            </w:r>
            <w:r>
              <w:rPr>
                <w:rFonts w:hint="eastAsia" w:ascii="宋体" w:hAnsi="宋体" w:eastAsia="宋体" w:cs="宋体"/>
                <w:i w:val="0"/>
                <w:iCs w:val="0"/>
                <w:color w:val="000000"/>
                <w:kern w:val="0"/>
                <w:sz w:val="15"/>
                <w:szCs w:val="15"/>
                <w:u w:val="none"/>
                <w:lang w:val="en-US" w:eastAsia="zh-CN" w:bidi="ar"/>
              </w:rPr>
              <w:t>一般规格</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频率范围：350-400MHz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信道容量：≥1024</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组群：≥64（每组群≥128个组）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信道间隔：12.5KHz/20KHz/25KHz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工作电压：7.4V(额定)</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标配电池：≥2100mAh(锂)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电池平均工作时间（5-5-90工作循环，高功率发射）标配锂电池：打开定位≥17小时，关闭定位≥20小时；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频率稳定度：≤±0.5ppm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重量（带标配电池和天线）：≤400g</w:t>
            </w:r>
            <w:r>
              <w:rPr>
                <w:rFonts w:hint="eastAsia" w:ascii="宋体" w:hAnsi="宋体" w:eastAsia="宋体" w:cs="宋体"/>
                <w:i w:val="0"/>
                <w:iCs w:val="0"/>
                <w:color w:val="000000"/>
                <w:kern w:val="0"/>
                <w:sz w:val="15"/>
                <w:szCs w:val="15"/>
                <w:u w:val="none"/>
                <w:lang w:val="en-US" w:eastAsia="zh-CN" w:bidi="ar"/>
              </w:rPr>
              <w:br w:type="textWrapping"/>
            </w:r>
            <w:r>
              <w:rPr>
                <w:rFonts w:ascii="Wingdings 2" w:hAnsi="Wingdings 2" w:eastAsia="Wingdings 2" w:cs="Wingdings 2"/>
                <w:i w:val="0"/>
                <w:iCs w:val="0"/>
                <w:color w:val="000000"/>
                <w:kern w:val="0"/>
                <w:sz w:val="15"/>
                <w:szCs w:val="15"/>
                <w:u w:val="none"/>
                <w:lang w:val="en-US" w:eastAsia="zh-CN" w:bidi="ar"/>
              </w:rPr>
              <w:t></w:t>
            </w:r>
            <w:r>
              <w:rPr>
                <w:rFonts w:hint="eastAsia" w:ascii="宋体" w:hAnsi="宋体" w:eastAsia="宋体" w:cs="宋体"/>
                <w:i w:val="0"/>
                <w:iCs w:val="0"/>
                <w:color w:val="000000"/>
                <w:kern w:val="0"/>
                <w:sz w:val="15"/>
                <w:szCs w:val="15"/>
                <w:u w:val="none"/>
                <w:lang w:val="en-US" w:eastAsia="zh-CN" w:bidi="ar"/>
              </w:rPr>
              <w:t>发射指标</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输出功率：＜3.5W</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FM调制方式：11K0F3E@12.5kHz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14K0F3E@20kHz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16K0F3E@25kHz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4FSK数字调制方式：12.5kHz仅数据：7K60FXD</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12.5kHz数据和语音：7K60FXW</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传导/辐射发射：-36dBm&lt;1GHz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-30dBm&gt;1GHz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调制限制：±2.5kHz@12.5kHz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±4.0kHz@20kHz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±5.0kHz@25kHz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FM交流声与噪声：≥40dB@12.5kHz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≥43dB@20KHz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≥45dB@25kHz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邻道功率：≥60dB@12.5kHz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≥70dB@20/25kHz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音频响应：+1～-3dB</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音频失真：≤3%</w:t>
            </w:r>
            <w:r>
              <w:rPr>
                <w:rFonts w:hint="eastAsia" w:ascii="宋体" w:hAnsi="宋体" w:eastAsia="宋体" w:cs="宋体"/>
                <w:i w:val="0"/>
                <w:iCs w:val="0"/>
                <w:color w:val="000000"/>
                <w:kern w:val="0"/>
                <w:sz w:val="15"/>
                <w:szCs w:val="15"/>
                <w:u w:val="none"/>
                <w:lang w:val="en-US" w:eastAsia="zh-CN" w:bidi="ar"/>
              </w:rPr>
              <w:br w:type="textWrapping"/>
            </w:r>
            <w:r>
              <w:rPr>
                <w:rFonts w:ascii="Wingdings 2" w:hAnsi="Wingdings 2" w:eastAsia="Wingdings 2" w:cs="Wingdings 2"/>
                <w:i w:val="0"/>
                <w:iCs w:val="0"/>
                <w:color w:val="000000"/>
                <w:kern w:val="0"/>
                <w:sz w:val="15"/>
                <w:szCs w:val="15"/>
                <w:u w:val="none"/>
                <w:lang w:val="en-US" w:eastAsia="zh-CN" w:bidi="ar"/>
              </w:rPr>
              <w:t></w:t>
            </w:r>
            <w:r>
              <w:rPr>
                <w:rFonts w:hint="eastAsia" w:ascii="宋体" w:hAnsi="宋体" w:eastAsia="宋体" w:cs="宋体"/>
                <w:i w:val="0"/>
                <w:iCs w:val="0"/>
                <w:color w:val="000000"/>
                <w:kern w:val="0"/>
                <w:sz w:val="15"/>
                <w:szCs w:val="15"/>
                <w:u w:val="none"/>
                <w:lang w:val="en-US" w:eastAsia="zh-CN" w:bidi="ar"/>
              </w:rPr>
              <w:t>接收指标</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数字接收灵敏度（数字）：≤0.18μV/BER5%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邻道选择性：≥60dB@12.5kHz、70dB@20/25kHz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互调：≥65dB@12.5/20/25kHz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杂散响应抑制：≥70dB@12.5/20/25kHz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阻塞：≥84dB</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交流声与噪声：≥40dB@12.5kHz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≥43dB@20KHz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≥45dB@25kHz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额定音频输出功率：≥0.5W</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额定音频失真：≤3%</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音频响应：+1～-3dB</w:t>
            </w:r>
            <w:r>
              <w:rPr>
                <w:rFonts w:hint="eastAsia" w:ascii="宋体" w:hAnsi="宋体" w:eastAsia="宋体" w:cs="宋体"/>
                <w:i w:val="0"/>
                <w:iCs w:val="0"/>
                <w:color w:val="000000"/>
                <w:kern w:val="0"/>
                <w:sz w:val="15"/>
                <w:szCs w:val="15"/>
                <w:u w:val="none"/>
                <w:lang w:val="en-US" w:eastAsia="zh-CN" w:bidi="ar"/>
              </w:rPr>
              <w:br w:type="textWrapping"/>
            </w:r>
            <w:r>
              <w:rPr>
                <w:rFonts w:ascii="Wingdings 2" w:hAnsi="Wingdings 2" w:eastAsia="Wingdings 2" w:cs="Wingdings 2"/>
                <w:i w:val="0"/>
                <w:iCs w:val="0"/>
                <w:color w:val="000000"/>
                <w:kern w:val="0"/>
                <w:sz w:val="15"/>
                <w:szCs w:val="15"/>
                <w:u w:val="none"/>
                <w:lang w:val="en-US" w:eastAsia="zh-CN" w:bidi="ar"/>
              </w:rPr>
              <w:t></w:t>
            </w:r>
            <w:r>
              <w:rPr>
                <w:rFonts w:hint="eastAsia" w:ascii="宋体" w:hAnsi="宋体" w:eastAsia="宋体" w:cs="宋体"/>
                <w:i w:val="0"/>
                <w:iCs w:val="0"/>
                <w:color w:val="000000"/>
                <w:kern w:val="0"/>
                <w:sz w:val="15"/>
                <w:szCs w:val="15"/>
                <w:u w:val="none"/>
                <w:lang w:val="en-US" w:eastAsia="zh-CN" w:bidi="ar"/>
              </w:rPr>
              <w:t>环境指标</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工作温度范围：≥-20℃～+55℃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储存温度范围：≥-40℃～+65℃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ESD（静电防护等级）：≥IEC 61000-4-2（level 4）</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防尘防水：≥IP68</w:t>
            </w:r>
            <w:r>
              <w:rPr>
                <w:rFonts w:hint="eastAsia" w:ascii="宋体" w:hAnsi="宋体" w:eastAsia="宋体" w:cs="宋体"/>
                <w:i w:val="0"/>
                <w:iCs w:val="0"/>
                <w:color w:val="000000"/>
                <w:kern w:val="0"/>
                <w:sz w:val="15"/>
                <w:szCs w:val="15"/>
                <w:u w:val="none"/>
                <w:lang w:val="en-US" w:eastAsia="zh-CN" w:bidi="ar"/>
              </w:rPr>
              <w:br w:type="textWrapping"/>
            </w:r>
            <w:r>
              <w:rPr>
                <w:rFonts w:ascii="Wingdings 2" w:hAnsi="Wingdings 2" w:eastAsia="Wingdings 2" w:cs="Wingdings 2"/>
                <w:i w:val="0"/>
                <w:iCs w:val="0"/>
                <w:color w:val="000000"/>
                <w:kern w:val="0"/>
                <w:sz w:val="15"/>
                <w:szCs w:val="15"/>
                <w:u w:val="none"/>
                <w:lang w:val="en-US" w:eastAsia="zh-CN" w:bidi="ar"/>
              </w:rPr>
              <w:t></w:t>
            </w:r>
            <w:r>
              <w:rPr>
                <w:rFonts w:hint="eastAsia" w:ascii="宋体" w:hAnsi="宋体" w:eastAsia="宋体" w:cs="宋体"/>
                <w:i w:val="0"/>
                <w:iCs w:val="0"/>
                <w:color w:val="000000"/>
                <w:kern w:val="0"/>
                <w:sz w:val="15"/>
                <w:szCs w:val="15"/>
                <w:u w:val="none"/>
                <w:lang w:val="en-US" w:eastAsia="zh-CN" w:bidi="ar"/>
              </w:rPr>
              <w:t>定位指标</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TTFF（首次定位时间）冷启动：＜60秒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TTFF（首次定位时间）热启动：＜10秒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水平位置精度：＜10米</w:t>
            </w:r>
          </w:p>
        </w:tc>
        <w:tc>
          <w:tcPr>
            <w:tcW w:w="1045" w:type="dxa"/>
            <w:vAlign w:val="center"/>
          </w:tcPr>
          <w:p w14:paraId="69C8030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32</w:t>
            </w:r>
          </w:p>
        </w:tc>
        <w:tc>
          <w:tcPr>
            <w:tcW w:w="1060" w:type="dxa"/>
            <w:vAlign w:val="center"/>
          </w:tcPr>
          <w:p w14:paraId="4E17D7D3">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7DD21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73310B9">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9</w:t>
            </w:r>
          </w:p>
        </w:tc>
        <w:tc>
          <w:tcPr>
            <w:tcW w:w="907" w:type="dxa"/>
            <w:vAlign w:val="center"/>
          </w:tcPr>
          <w:p w14:paraId="0921621B">
            <w:pPr>
              <w:pStyle w:val="8"/>
              <w:keepNext w:val="0"/>
              <w:keepLines w:val="0"/>
              <w:pageBreakBefore w:val="0"/>
              <w:widowControl w:val="0"/>
              <w:kinsoku/>
              <w:wordWrap/>
              <w:overflowPunct/>
              <w:topLinePunct w:val="0"/>
              <w:autoSpaceDE/>
              <w:autoSpaceDN/>
              <w:bidi w:val="0"/>
              <w:adjustRightInd/>
              <w:snapToGrid w:val="0"/>
              <w:spacing w:beforeAutospacing="0" w:afterAutospacing="0" w:line="240" w:lineRule="auto"/>
              <w:jc w:val="center"/>
              <w:textAlignment w:val="auto"/>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消防员灭火防护服</w:t>
            </w:r>
          </w:p>
        </w:tc>
        <w:tc>
          <w:tcPr>
            <w:tcW w:w="5078" w:type="dxa"/>
            <w:vAlign w:val="center"/>
          </w:tcPr>
          <w:p w14:paraId="16B96445">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★1、结构组成：外层、防水透气层、舒适层共三层面料组成，并带有救生拖拉带。"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2、★符合XF10-2014《消防员灭火防护服》标准要求，提供国家消防装备质量监督检验中心签发的检验报告复印件和应急管理部消防产品合格评定中心认证证书复印件。"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▲4、整体热护性能(cal/cm2) ≥ 39.5。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▲5、阻燃性能-外层：径向：续燃时间0s，损毁长度≤10cm，纬向：续燃时间0s，损毁长度≤10cm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▲6、阻燃性能-防水透气层（隔热层）：径向：续燃时间0s，损毁长度≤35cm，纬向：续燃时间0s，损毁长度≤38cm；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▲7、阻燃性能-舒适层：径向：续燃时间0s ，损毁长度≤27cm，纬向：续燃时间0s，损毁长度≤24cm；反光标志带：径向：续燃时间0s，损毁长度≤28cm，纬向：续燃时间0s，损毁长度≤18cm；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▲8、阻燃性能-外层加强材料：径向：续燃时间0s， 损毁长度≤19cm，纬向：续燃时间0s，损毁长度≤17cm；防护护腕：续燃时间0s；缝纫线：续燃时间0s，所有试验现象不应有熔融、滴落现象。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11、热稳定性能：外层变化率（%）≤1.0 现象试样表面无明显变化。防水透气层变化率（%）≤2.0，现象试样表面无明显变化。外层加强材料变化率（%）≤1，现象试样表面无明显变化。舒适层变化率（%）≤2.0 现象试样表面无明显变化。缝纫线应无熔化、烧焦现象，五金件应能保持其原有的功能。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9、缩水率：≤5%。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10、表面抗湿性能≥3级。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▲11、断裂强力-外层：径向(N)≥1900，纬向(N)≥1800；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▲12、断裂强力-舒适层：径向(N)≥750，纬向(N)≥550。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▲13、撕破强力-内层：径向(N)≥800，纬向 (N) ≥650。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14、单位面积质量 (g/m2)防水透H层≥200，舒适层≥140。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15、外层色牢度：耐洗沾色(级)、耐水摩擦(级)、光色牢度(级)均不低于4级要求。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16、防水透气层：耐静水压(kPa) &gt;50，透湿率(g/ (m2·24h))≥6000，拒油性能(级) ≥4。</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17、针距密度：明暗线（针/3cm) ≥13。</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18、色差：防护服的领与前身、袖与前身、袋与前身、左右前身及其他衰面部位的色差不应小于4级。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21、反光标志带：耐热性能试验后，反光材料表面应无炭化、脱落现象。高低温性能试验后，不应岀现断裂、起皱、扭曲现象。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22、质量（kg) ≤ 3。</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23、款式、标识符合国家消防救援局《20式消防员灭火防护服款式标识统型要求》。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24、配有救生拖拉带：救生拖拉带展开时间不应大于4s，拖动测试假人距离不应小于2.5m。"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24、增加挂点（肩挂、胸挂等）</w:t>
            </w:r>
          </w:p>
        </w:tc>
        <w:tc>
          <w:tcPr>
            <w:tcW w:w="1045" w:type="dxa"/>
            <w:vAlign w:val="center"/>
          </w:tcPr>
          <w:p w14:paraId="5CD34BD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i w:val="0"/>
                <w:iCs w:val="0"/>
                <w:color w:val="000000"/>
                <w:kern w:val="0"/>
                <w:sz w:val="15"/>
                <w:szCs w:val="15"/>
                <w:u w:val="none"/>
                <w:lang w:val="en-US" w:eastAsia="zh-CN" w:bidi="ar"/>
              </w:rPr>
              <w:t>112</w:t>
            </w:r>
          </w:p>
        </w:tc>
        <w:tc>
          <w:tcPr>
            <w:tcW w:w="1060" w:type="dxa"/>
            <w:vAlign w:val="center"/>
          </w:tcPr>
          <w:p w14:paraId="0B70FD74">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31E6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837" w:type="dxa"/>
            <w:gridSpan w:val="5"/>
            <w:shd w:val="clear" w:color="auto" w:fill="E7E6E6" w:themeFill="background2"/>
            <w:vAlign w:val="center"/>
          </w:tcPr>
          <w:p w14:paraId="162871D2">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包二</w:t>
            </w:r>
          </w:p>
        </w:tc>
      </w:tr>
      <w:tr w14:paraId="4563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4F6CB118">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1</w:t>
            </w:r>
          </w:p>
        </w:tc>
        <w:tc>
          <w:tcPr>
            <w:tcW w:w="907" w:type="dxa"/>
            <w:vAlign w:val="center"/>
          </w:tcPr>
          <w:p w14:paraId="33E55FF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消防员抢险救援头盔</w:t>
            </w:r>
          </w:p>
        </w:tc>
        <w:tc>
          <w:tcPr>
            <w:tcW w:w="5078" w:type="dxa"/>
            <w:vAlign w:val="center"/>
          </w:tcPr>
          <w:p w14:paraId="46AD2D87">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1、结构组成：产品由帽壳，护目镜，调节结构等组成。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2、主要应用场景：恶劣条件下对消防救援人员的防护要求。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▲4、出具的检测检验报告应包含检测标准依据：XF633-2006《消防员抢险救援防护服装》。</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▲5、材料和结构：高温热塑材料帽壳，双层护目镜，单手调节系统。</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6、外观要求：头盔采用流线型半盔式设计，带有，透气孔具备高抗冲击性能；3点式下颏带及帽箍可调系统适应在恶劣条件下工作。</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冲击吸收性能：高温预处理将头盔置于50℃的温度中保持4小时,头模所受冲击力≤2600N,低温预处理将头盔置于-28℃的温度中保持4小时,头模所受冲击力≤2600N,浸水预处理将头盔置于水槽中室温保持4小时,头模所受冲击力≤2600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▲8、耐穿透性能：低温预处理将头盔置于-28℃的温度中保持4小时，钢锥未与头模建立电接触。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9、阻燃性能：火源离开帽壳后，帽壳火焰在5s内自熄。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10、热稳定性能：救援头盔在180℃的烘箱中，保持5min后，其边沿无变形，硬质附件保持功能完好，反光材料表面无碳化脱落现象。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▲11、侧向刚性：救援头盔帽壳的最大变形≤40mm,卸载后变形≤5mm。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12、下额带抗拉强度：在测试标准下不会发生断裂，滑脱，延伸长度≤20mm。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▲13、整体质量（包括护目镜）&lt;900g。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14、标志：头盔具有厂家信息，型号，合格证和中文说明书。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▲15、标配有全封闭防护眼罩，其采用双层隔热镜片，材质采用高性能聚碳酸酯，抗冲击性能好，同时带超硬防刮防雾涂层。眼罩周围采用柔软橡胶制成，在有效保护眼部安全的同时，更提高了舒适性。</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16、帽壳具有反光条。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17、帽箍可在52－64cm范围内可自由调节。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▲18、帽壳材料：高温热塑材料。</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19、帽衬快速滑动式调节系统，单手一次调节到位。</w:t>
            </w:r>
          </w:p>
        </w:tc>
        <w:tc>
          <w:tcPr>
            <w:tcW w:w="1045" w:type="dxa"/>
            <w:vAlign w:val="center"/>
          </w:tcPr>
          <w:p w14:paraId="0C69CF8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144</w:t>
            </w:r>
          </w:p>
        </w:tc>
        <w:tc>
          <w:tcPr>
            <w:tcW w:w="1060" w:type="dxa"/>
            <w:vAlign w:val="center"/>
          </w:tcPr>
          <w:p w14:paraId="1AFBE68E">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7E5C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6BFD6F5C">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2</w:t>
            </w:r>
          </w:p>
        </w:tc>
        <w:tc>
          <w:tcPr>
            <w:tcW w:w="907" w:type="dxa"/>
            <w:vAlign w:val="center"/>
          </w:tcPr>
          <w:p w14:paraId="65BF8FC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消防员抢险救援靴</w:t>
            </w:r>
          </w:p>
        </w:tc>
        <w:tc>
          <w:tcPr>
            <w:tcW w:w="5078" w:type="dxa"/>
            <w:vAlign w:val="center"/>
          </w:tcPr>
          <w:p w14:paraId="1A96C2AD">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1、结构组成：由靴头、靴面、靴帮、靴底等组成。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2、主要应用场景：消防员在抢险救援时用于对脚、踝部和小腿等足部提供保护的防护靴。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▲4、出具的检测检验报告应包含检测标准依据：XF633-2006《消防员抢险救援防护服装》。</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▲5、靴面厚度：≥2.4mm。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6、靴外底磨耗减量：≤0.3cm/2km。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7、靴帮抗切割性能：经抗切割试验后，不应被割。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靴帮抗刺穿性能：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▲8、帮面皮革部位：≥175 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▲9、帮面织物部位：≥120 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抗穿刺性能：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▲10、掌心：≥1800N。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▲11、前掌1：≥1800N。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▲12、前掌2：≥1900N。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▲13、后跟：≥2000N。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14、金属衬垫的耐腐蚀性能：金属衬垫经腐蚀试验后，试样上无锈斑、锈痕、斑剥、针孔状的斑点等现象发生。</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15、质量：≤2kg。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16、外观质量：消防员抢险救援靴每件产品上应平整、平服、平稳、清洁、对称。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17、绷帮端正平服：内底不露钉尖，无顶尾突出。</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18、鞋里不应明显变色、脱色。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19、鞋垫牢固、平整；无明显感官缺陷；有中国鞋号。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20、缝线线道整齐，针码均匀，松紧一致。未有跳线、重针、断线、翻线、开线及缝线越轨等。</w:t>
            </w:r>
          </w:p>
        </w:tc>
        <w:tc>
          <w:tcPr>
            <w:tcW w:w="1045" w:type="dxa"/>
            <w:vAlign w:val="center"/>
          </w:tcPr>
          <w:p w14:paraId="6A88FDB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144</w:t>
            </w:r>
          </w:p>
        </w:tc>
        <w:tc>
          <w:tcPr>
            <w:tcW w:w="1060" w:type="dxa"/>
            <w:vAlign w:val="center"/>
          </w:tcPr>
          <w:p w14:paraId="1425A7EF">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39EF4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63DC7F74">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3</w:t>
            </w:r>
          </w:p>
        </w:tc>
        <w:tc>
          <w:tcPr>
            <w:tcW w:w="907" w:type="dxa"/>
            <w:vAlign w:val="center"/>
          </w:tcPr>
          <w:p w14:paraId="32257DD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消防员防蜂服</w:t>
            </w:r>
          </w:p>
        </w:tc>
        <w:tc>
          <w:tcPr>
            <w:tcW w:w="5078" w:type="dxa"/>
            <w:vAlign w:val="center"/>
          </w:tcPr>
          <w:p w14:paraId="2EFB193C">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1、结构组成：全包覆一体式设计，衣服整体采用双层高压耐刺穿白色面料制作，具有良好的阻燃、防蛰、耐磨性能。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2、主要应用场景：用于防蜂类等昆虫侵蚀的专用防护。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▲4、出具的检测检验报告应包含检测标准依据：XF3008-2020《消防员防蜂服》</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5、面料抗蛰刺性能≥0.45N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6、面料阻燃性能：经纬向续燃时间 0s，经纬向损毁长度≤9cm，无熔融、滴落现象。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▲7、面料耐磨性能：经循环次数 2000 次，试样未被磨穿。</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8、面料断裂强力：径向≥1300N，纬向≥850N。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9、面料撕破强力：径向≥200N，纬向≥80N。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▲10、面料甲醛含量：≤40mg/kg。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11、面料PH值：7.0-8.5。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12、面料表面抗湿性能：沾水等级≥4 级。</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13、面料拒油性能≥6 级。</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14、面料接缝断裂强力≥740N。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15、头罩：头罩面部孔径≤1mm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▲16、手套抗蛰刺性能：抗蛰刺力≥0.88N。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17、手套耐切割性能：割破力≥2N。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18、手套撕破强力≥500N。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19、手套灵巧性能：拾取钢棒直径≤10mm。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20、靴子靴帮抗穿刺性能≥190N。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21、靴子防滑性能：始滑角≥15°。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▲22、靴子电绝缘性能：击穿电压≥5000V，泄露电流≤0.3mA。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23、防蜂服质量≤4.2kg。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24、防蜂服缝纫线阻燃性能：无熔融、烧焦现象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25、防蜂服外观质量：各部位整烫平服、整洁，无烫黄、水渍、亮光。各接缝部位顺直、整齐、平服、牢固、松紧适宜。对称部位基本一致。标签位置正确，标志内容准确清晰。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26、标志：合格。</w:t>
            </w:r>
          </w:p>
        </w:tc>
        <w:tc>
          <w:tcPr>
            <w:tcW w:w="1045" w:type="dxa"/>
            <w:vAlign w:val="center"/>
          </w:tcPr>
          <w:p w14:paraId="7D15CA6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w:t>
            </w:r>
          </w:p>
        </w:tc>
        <w:tc>
          <w:tcPr>
            <w:tcW w:w="1060" w:type="dxa"/>
            <w:vAlign w:val="center"/>
          </w:tcPr>
          <w:p w14:paraId="208BE901">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298A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A1CBF91">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4</w:t>
            </w:r>
          </w:p>
        </w:tc>
        <w:tc>
          <w:tcPr>
            <w:tcW w:w="907" w:type="dxa"/>
            <w:vAlign w:val="center"/>
          </w:tcPr>
          <w:p w14:paraId="6F8E813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FF0000"/>
                <w:sz w:val="15"/>
                <w:szCs w:val="15"/>
                <w:highlight w:val="none"/>
                <w:vertAlign w:val="baseline"/>
                <w:lang w:val="en-US" w:eastAsia="zh-CN"/>
              </w:rPr>
            </w:pPr>
            <w:r>
              <w:rPr>
                <w:rFonts w:hint="eastAsia" w:ascii="宋体" w:hAnsi="宋体" w:eastAsia="宋体" w:cs="宋体"/>
                <w:b w:val="0"/>
                <w:bCs w:val="0"/>
                <w:i w:val="0"/>
                <w:iCs w:val="0"/>
                <w:color w:val="auto"/>
                <w:kern w:val="0"/>
                <w:sz w:val="15"/>
                <w:szCs w:val="15"/>
                <w:u w:val="none"/>
                <w:lang w:val="en-US" w:eastAsia="zh-CN" w:bidi="ar"/>
              </w:rPr>
              <w:t>消防员护膝、护肘</w:t>
            </w:r>
          </w:p>
        </w:tc>
        <w:tc>
          <w:tcPr>
            <w:tcW w:w="5078" w:type="dxa"/>
            <w:vAlign w:val="center"/>
          </w:tcPr>
          <w:p w14:paraId="736AC914">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1、结构组成：护肘护膝护具为四层结构，能有效防止硬物刺伤、划破、固定装置可调节。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2、主要应用场景：用于对膝部、肘部的防护，多层结构，有效防止硬物刺伤、划破。"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1、★符合GB24541-2009《手部防护  机械危害防护手套》标准。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2、提供国家级/省级国家级检验机构出具的检验报告和消防产品认证证书。"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                                                                                                             1、1、结构：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护肘护膝护具为四层结构，能有效防止硬物刺伤、划破、固定装置可调节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2、▲质量：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护肘：≤70g；护膝：≤115g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3、▲抗冲击：</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护肘：将5kg的重锤从100mm高度、自由落体冲击测试样品、冲击力值≥500N；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护膝：将5kg的重锤从100mm高度、自由落体冲击测试样品、冲击力值≥2500N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4、▲耐摩擦性/周期：2级：≥500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5、▲耐刺穿性：2级：≥60N。"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无"</w:t>
            </w:r>
          </w:p>
        </w:tc>
        <w:tc>
          <w:tcPr>
            <w:tcW w:w="1045" w:type="dxa"/>
            <w:vAlign w:val="center"/>
          </w:tcPr>
          <w:p w14:paraId="2935716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216</w:t>
            </w:r>
          </w:p>
        </w:tc>
        <w:tc>
          <w:tcPr>
            <w:tcW w:w="1060" w:type="dxa"/>
            <w:vAlign w:val="center"/>
          </w:tcPr>
          <w:p w14:paraId="2834793E">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3F7AD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36F5DCE6">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FF0000"/>
                <w:sz w:val="15"/>
                <w:szCs w:val="15"/>
                <w:highlight w:val="none"/>
                <w:vertAlign w:val="baseline"/>
                <w:lang w:val="en-US" w:eastAsia="zh-CN"/>
              </w:rPr>
            </w:pPr>
            <w:r>
              <w:rPr>
                <w:rFonts w:hint="eastAsia" w:ascii="宋体" w:hAnsi="宋体" w:eastAsia="宋体" w:cs="宋体"/>
                <w:color w:val="auto"/>
                <w:sz w:val="15"/>
                <w:szCs w:val="15"/>
                <w:highlight w:val="none"/>
                <w:vertAlign w:val="baseline"/>
                <w:lang w:val="en-US" w:eastAsia="zh-CN"/>
              </w:rPr>
              <w:t>5</w:t>
            </w:r>
          </w:p>
        </w:tc>
        <w:tc>
          <w:tcPr>
            <w:tcW w:w="907" w:type="dxa"/>
            <w:vAlign w:val="center"/>
          </w:tcPr>
          <w:p w14:paraId="7D5D822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FF0000"/>
                <w:sz w:val="15"/>
                <w:szCs w:val="15"/>
                <w:highlight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消防全身式安全吊带</w:t>
            </w:r>
          </w:p>
        </w:tc>
        <w:tc>
          <w:tcPr>
            <w:tcW w:w="5078" w:type="dxa"/>
            <w:vAlign w:val="center"/>
          </w:tcPr>
          <w:p w14:paraId="2E165CA3">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1、结构组成：织带、上升器、保护装置组成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2、主要应用场景：用于高空救援防坠落保护"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★3、符合XF494-2004《消防用防坠落装备》标准要求并提供国家级检验机构出具的检验报告。"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"5、织带的宽度和厚度：宽度：(43±2)mm；厚度：(2.0士0.2)mm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6、金属拉环的厚度(10士1)mm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7、正立方向静拉力（指定试验）≥20kN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▲8、静负荷性能：正立方向、水平方向、倒立方向9、安全吊带不应从人体模型上松脱，安全吊带上的带扣和调节装置滑移距离不应超过10mm,而且安全吊带不应出现影响其安全性能的明显损伤。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9、抗冲击性能：安全吊带不应从人体模型上松脱，而且安全吊带不应出现影响其安全性能的明显损伤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▲10、耐高温性能：安全吊带的织带和缝线不应出现融熔、焦化现象。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▲11、金属零件的耐腐蚀性能：盐雾试验后，外观应符合GB/T6461一2002外观等级评定轻微级的要求。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12、标志在消防用防坠落装备的显著位置应有永久性的标志，其内容为：产品型号、用途、批号以及生产日期等。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五挂点全身安全带，内置一体式胸式上升器，腹部连接点可打开，方便连接挽索、上升器等；半硬式、宽大的腰带和腿环，使用透气泡棉作内衬，提高悬挂时的舒适度；配有双保险卡扣。腿环备有自动上锁扣，后背(腰带和腿环之间)带有自锁扣；配有五个备有保护套的成形工具环，两个工具挂环槽，两个工具包连接点，配有携带工具架凹槽，配有预设型胸式上升器的链接，使上升承载受力时更加安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14、腰带调节范围70-93cm，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15、腿环调节范围47-62cm，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16、重量≤1900g；"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17、适配使用者身高165-190cm；"</w:t>
            </w:r>
          </w:p>
        </w:tc>
        <w:tc>
          <w:tcPr>
            <w:tcW w:w="1045" w:type="dxa"/>
            <w:vAlign w:val="center"/>
          </w:tcPr>
          <w:p w14:paraId="3C87ACE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40</w:t>
            </w:r>
          </w:p>
        </w:tc>
        <w:tc>
          <w:tcPr>
            <w:tcW w:w="1060" w:type="dxa"/>
            <w:vAlign w:val="center"/>
          </w:tcPr>
          <w:p w14:paraId="07137CC8">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981B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167E6497">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6</w:t>
            </w:r>
          </w:p>
        </w:tc>
        <w:tc>
          <w:tcPr>
            <w:tcW w:w="907" w:type="dxa"/>
            <w:vAlign w:val="center"/>
          </w:tcPr>
          <w:p w14:paraId="3FCBE4A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FF0000"/>
                <w:sz w:val="15"/>
                <w:szCs w:val="15"/>
                <w:highlight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消防员抢险救援手套</w:t>
            </w:r>
          </w:p>
        </w:tc>
        <w:tc>
          <w:tcPr>
            <w:tcW w:w="5078" w:type="dxa"/>
            <w:vAlign w:val="center"/>
          </w:tcPr>
          <w:p w14:paraId="42F7BE64">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1.整体要求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▲1.1符合XF633-2006《消防员抢险救援防护服装试验大纲》标准要求，需提供国家认可的具备相关资质的第三方检验检测机构签发的检验报告复印件。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1.2款式要求：采用3D立体设计，自然弯曲，手掌指尖一片式翻转入手指背，袖口采用内扣收缩式。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2.主体结构要求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2.1手掌结构：内层为芳纶针织布，颜色为黄色。外层用牛皮头层反绒加强，颜色为黄色。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2.2手背结构：芳纶双面针织布。颜色为橘红色。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3.技术性能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3.1阻燃性能：掌心面料经、纬向续燃时间≤2s，损毁长度≤10mm ；背面面料经纬向续燃时间0S，损毁长度≤15mm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3.2热稳定性能：收缩率≤3%。</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3.3抗切割性能：割破力≥5N。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▲3.4耐撕破性能：掌心面和背面材料≥100N。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▲3.5抗机械刺穿性能：掌心面穿刺力≥250N，背面≥120N。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3.6耐摩擦性能：掌心面材料≥5000次。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3.7接缝断裂强力：≥380N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3.8灵巧性能：徒手控制百分比为≤120%。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3.9抓握性能：拉重力比为≥85%。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3.10穿戴性能：穿戴时间≤5S。1.1符合《消防员抢险救援防护服装试验大纲》标准要求，需提供国家认可的具备相关资质的第三方检验检测机构签发的检验报告复印件。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1.2款式要求：采用3D立体设计，自然弯曲，手掌指尖一片式翻转入手指背，袖口采用内扣收缩式。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2.主体结构要求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2.1手掌结构：内层为芳纶针织布，颜色为黄色。外层用牛皮头层反绒加强，颜色为黄色。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2.2手背结构：芳纶双面针织布。颜色为橘红色。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3.技术性能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3.1阻燃性能：掌心面料经、纬向续燃时间≤2s，损毁长度≤10mm ；背面面料经纬向续燃时间0S，损毁长度≤15mm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3.2热稳定性能：收缩率≤3%。</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3.3抗切割性能：割破力≥5N。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▲3.4耐撕破性能：掌心面和背面材料≥100N。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▲3.5抗机械刺穿性能：掌心面穿刺力≥250N，背面≥120N。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3.6耐摩擦性能：掌心面材料≥5000次。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3.7接缝断裂强力：≥380N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3.8灵巧性能：徒手控制百分比为≤120%。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3.9抓握性能：拉重力比为≥85%。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3.10穿戴性能：穿戴时间≤5S。</w:t>
            </w:r>
          </w:p>
        </w:tc>
        <w:tc>
          <w:tcPr>
            <w:tcW w:w="1045" w:type="dxa"/>
            <w:vAlign w:val="center"/>
          </w:tcPr>
          <w:p w14:paraId="6A14255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192</w:t>
            </w:r>
          </w:p>
        </w:tc>
        <w:tc>
          <w:tcPr>
            <w:tcW w:w="1060" w:type="dxa"/>
            <w:vAlign w:val="center"/>
          </w:tcPr>
          <w:p w14:paraId="523387F0">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7093E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7AEF4108">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7</w:t>
            </w:r>
          </w:p>
        </w:tc>
        <w:tc>
          <w:tcPr>
            <w:tcW w:w="907" w:type="dxa"/>
            <w:vAlign w:val="center"/>
          </w:tcPr>
          <w:p w14:paraId="7AE7B8E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FF0000"/>
                <w:sz w:val="15"/>
                <w:szCs w:val="15"/>
                <w:highlight w:val="none"/>
                <w:vertAlign w:val="baseline"/>
                <w:lang w:val="en-US" w:eastAsia="zh-CN"/>
              </w:rPr>
            </w:pPr>
            <w:r>
              <w:rPr>
                <w:rFonts w:hint="eastAsia" w:ascii="宋体" w:hAnsi="宋体" w:eastAsia="宋体" w:cs="宋体"/>
                <w:i w:val="0"/>
                <w:iCs w:val="0"/>
                <w:color w:val="auto"/>
                <w:kern w:val="0"/>
                <w:sz w:val="15"/>
                <w:szCs w:val="15"/>
                <w:u w:val="none"/>
                <w:lang w:val="en-US" w:eastAsia="zh-CN" w:bidi="ar"/>
              </w:rPr>
              <w:t>消防员抢险救援服</w:t>
            </w:r>
          </w:p>
        </w:tc>
        <w:tc>
          <w:tcPr>
            <w:tcW w:w="5078" w:type="dxa"/>
            <w:vAlign w:val="center"/>
          </w:tcPr>
          <w:p w14:paraId="4107103A">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1.整体要求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▲1.1符合XF633-2006《消防员抢险救援防护服装试验大纲》标准要求，需提供国家级消防研究所出具的检验报告复印件。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 款式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2.1服装款式、号型符合国家消防救援局最新统型要求。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2.2颜色：抢险救援防护服主体颜色为橘红色，肩背部、口袋袋盖为火焰蓝色。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2.3服装面料采用单层织物，为原液染色芳纶、阻燃粘胶纤维等交织而成的双重组织。具有防静电、阻燃、轻便、柔软、弹性、抗拉力强，外层防水拒油里层吸湿排汗等性能。克重：（200±10）g/m2。</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2.4拉链：上衣前门襟和裤子前襟处采用了不小于8号的树脂拉链，颜色为橘红色。</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3.技术要求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▲3.1阻燃性能: 经纬向损毁长度≤40mm，续燃时间为0s，且无熔融、滴落现象；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▲3.2断裂强力:经向断裂强力≥800N；纬向断裂强力≥800N；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▲3.3撕破强力：面料经向撕破强力≥200N、纬向撕破强力≥200N；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3.4接缝强力：≥700N；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3.5热稳定性能：经（180±5）°C热稳定性能试验后，沿经、纬方向尺寸变化率≤1%，且试样表面应无明显变化。</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3.7橘红和火焰蓝两种面料色牢度：面料的耐水摩擦色牢度、耐洗沾色色牢度、耐光色牢度不小于4级；</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3.8针距密度：明暗线≥12针/3cm，包缝线≥9针/3cm；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3.9防静电性能：≤0.5μC。</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3.10质量：≤1.2kg。</w:t>
            </w:r>
          </w:p>
        </w:tc>
        <w:tc>
          <w:tcPr>
            <w:tcW w:w="1045" w:type="dxa"/>
            <w:vAlign w:val="center"/>
          </w:tcPr>
          <w:p w14:paraId="7308F20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144</w:t>
            </w:r>
          </w:p>
        </w:tc>
        <w:tc>
          <w:tcPr>
            <w:tcW w:w="1060" w:type="dxa"/>
            <w:vAlign w:val="center"/>
          </w:tcPr>
          <w:p w14:paraId="226FACB0">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75ADD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837" w:type="dxa"/>
            <w:gridSpan w:val="5"/>
            <w:shd w:val="clear" w:color="auto" w:fill="E7E6E6" w:themeFill="background2"/>
            <w:vAlign w:val="center"/>
          </w:tcPr>
          <w:p w14:paraId="3BD058F3">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21"/>
                <w:szCs w:val="21"/>
                <w:highlight w:val="none"/>
                <w:vertAlign w:val="baseline"/>
                <w:lang w:val="en-US" w:eastAsia="zh-CN"/>
              </w:rPr>
              <w:t>包三</w:t>
            </w:r>
          </w:p>
        </w:tc>
      </w:tr>
      <w:tr w14:paraId="492DB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4AC6799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1</w:t>
            </w:r>
          </w:p>
        </w:tc>
        <w:tc>
          <w:tcPr>
            <w:tcW w:w="907" w:type="dxa"/>
            <w:vAlign w:val="center"/>
          </w:tcPr>
          <w:p w14:paraId="6D25B88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FF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消防救生衣</w:t>
            </w:r>
          </w:p>
        </w:tc>
        <w:tc>
          <w:tcPr>
            <w:tcW w:w="5078" w:type="dxa"/>
            <w:shd w:val="clear" w:color="auto" w:fill="auto"/>
            <w:vAlign w:val="center"/>
          </w:tcPr>
          <w:p w14:paraId="4094958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"一、基本描述</w:t>
            </w:r>
          </w:p>
          <w:p w14:paraId="1AB76C5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 xml:space="preserve">1、结构组成：衣灯带，粘扣，反光带，浮绳，扣件，定位带，缚带，包布，浮材等。 </w:t>
            </w:r>
          </w:p>
          <w:p w14:paraId="0369375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2、主要应用场景：适用于消防部队抗洪抢险和处置水域事故。 "</w:t>
            </w:r>
          </w:p>
          <w:p w14:paraId="50AC042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"二、标准规范及检验报告</w:t>
            </w:r>
          </w:p>
          <w:p w14:paraId="12ED6FB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▲3、符合 GB 4303-2008 船用救生衣标准要求及《消防水域救援个人防护装备试验大纲》并提供国家级权威检验机构出具的检验报告。 "</w:t>
            </w:r>
          </w:p>
          <w:p w14:paraId="6F427AF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"三、检验报告内参数</w:t>
            </w:r>
          </w:p>
          <w:p w14:paraId="5CD09E9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4、救生衣的颜色为橙色。"</w:t>
            </w:r>
          </w:p>
          <w:p w14:paraId="30BC9BF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5、救生衣的系固采用插扣和拉链形式。</w:t>
            </w:r>
          </w:p>
          <w:p w14:paraId="61C597B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6、救生衣的属具及配件无尖角、毛刺等导致穿着者和被救者受伤的缺陷。</w:t>
            </w:r>
          </w:p>
          <w:p w14:paraId="01A1EE9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7、救生衣上逆向反光带的总面积不小于 400cm²，且穿着人员在水中时，水面以上的救生衣外表面所贴逆向反光带的总面积不小于 200cm²。</w:t>
            </w:r>
          </w:p>
          <w:p w14:paraId="4DF817E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8、救生衣安全气囊与救生衣体连接可靠，当安全气囊受损或失效后能进行更换且不对救生衣体产生破坏。</w:t>
            </w:r>
          </w:p>
          <w:p w14:paraId="380A74B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9、救生衣体上配有便携气胀式救生圈，且使用时能与救生衣分离。</w:t>
            </w:r>
          </w:p>
          <w:p w14:paraId="2D80354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10、救生衣装有能防止穿着人员入水后救生衣上浮窜动的裆带。</w:t>
            </w:r>
          </w:p>
          <w:p w14:paraId="6D2084B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▲11、救生衣固有浮力材料提供的浮力≥70N。</w:t>
            </w:r>
          </w:p>
          <w:p w14:paraId="5911B56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▲12、救生衣安全气囊提供的浮力≥145 N。</w:t>
            </w:r>
          </w:p>
          <w:p w14:paraId="4724F2C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▲13、救生衣上所配置的气胀式救生圈提供的浮力≥196N。</w:t>
            </w:r>
          </w:p>
          <w:p w14:paraId="6B39129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▲14、在安全气囊未充气状态下，救生衣在淡水中浸泡 24h后，其浮力损失为≤3.5%。</w:t>
            </w:r>
          </w:p>
          <w:p w14:paraId="0C37FDB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▲15、安全气囊充气后，救生衣在淡水中浸泡 24h 后，其浮力损失为≤3%。</w:t>
            </w:r>
          </w:p>
          <w:p w14:paraId="6904548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▲16、气胀式救生圈充气后在淡水中浸泡 24h 后，其浮力损失为≤1.5%</w:t>
            </w:r>
          </w:p>
          <w:p w14:paraId="7C34B77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17、救生衣衣身能承受≤1200N 的作用力≤30min 而不损坏。</w:t>
            </w:r>
          </w:p>
          <w:p w14:paraId="0CB9577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18、救生衣肩部能承受≤900N 的作用力≤30min 而不损坏。</w:t>
            </w:r>
          </w:p>
          <w:p w14:paraId="2881DEC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19、安全气囊与救生衣体之间能承受≤900N 的作用力而不发生脱离或损坏。</w:t>
            </w:r>
          </w:p>
          <w:p w14:paraId="43DD4C4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20、裆带与救生衣体之间能承受≤900N 的作用力而不发生脱离或损坏。</w:t>
            </w:r>
          </w:p>
          <w:p w14:paraId="30693F2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21、在安全气囊未充气情况下，穿着人员穿着救生衣以任意方式下水，救生衣能在 5 秒内使人体处于直立姿态，且人嘴高出水面 120mm 以上。在安全气囊充气的情况下，救生衣能在 3s 内使人体处于后仰姿。</w:t>
            </w:r>
          </w:p>
          <w:p w14:paraId="15E7DC7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22.安全气囊充气情况下，救生衣能 3s 使人体处于后仰姿态，且人体躯干与铅垂线的角度不小于 30°，人嘴高出水面120mm 以上。</w:t>
            </w:r>
          </w:p>
          <w:p w14:paraId="36345E2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23.落水和跳水穿着人员落水及跳水后，救生衣符合下列要求∶（1）. 救生衣不发生明显移位或对穿着人员造成伤害; （2）. 没有影响其水中姿态及浮力的破损;（3）不对其属具及附件造成破坏。</w:t>
            </w:r>
          </w:p>
          <w:p w14:paraId="0313E94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"四、非检验报告内参数</w:t>
            </w:r>
          </w:p>
          <w:p w14:paraId="6080620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Calibri" w:hAnsiTheme="minorHAnsi" w:eastAsiaTheme="minorEastAsia" w:cstheme="minorBidi"/>
                <w:kern w:val="2"/>
                <w:sz w:val="20"/>
                <w:szCs w:val="24"/>
                <w:lang w:val="en-US" w:eastAsia="zh-CN" w:bidi="ar-SA"/>
              </w:rPr>
            </w:pPr>
            <w:r>
              <w:rPr>
                <w:rFonts w:hint="eastAsia" w:ascii="Calibri" w:hAnsiTheme="minorHAnsi" w:eastAsiaTheme="minorEastAsia" w:cstheme="minorBidi"/>
                <w:kern w:val="2"/>
                <w:sz w:val="20"/>
                <w:szCs w:val="24"/>
                <w:lang w:val="en-US" w:eastAsia="zh-CN" w:bidi="ar-SA"/>
              </w:rPr>
              <w:t>无"</w:t>
            </w:r>
          </w:p>
        </w:tc>
        <w:tc>
          <w:tcPr>
            <w:tcW w:w="1045" w:type="dxa"/>
            <w:vAlign w:val="center"/>
          </w:tcPr>
          <w:p w14:paraId="160D428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64</w:t>
            </w:r>
          </w:p>
        </w:tc>
        <w:tc>
          <w:tcPr>
            <w:tcW w:w="1060" w:type="dxa"/>
            <w:vAlign w:val="center"/>
          </w:tcPr>
          <w:p w14:paraId="28A5EFF5">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768B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5069989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2</w:t>
            </w:r>
          </w:p>
        </w:tc>
        <w:tc>
          <w:tcPr>
            <w:tcW w:w="907" w:type="dxa"/>
            <w:vAlign w:val="center"/>
          </w:tcPr>
          <w:p w14:paraId="604EF70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水域救援漂浮救生绳(米)</w:t>
            </w:r>
          </w:p>
        </w:tc>
        <w:tc>
          <w:tcPr>
            <w:tcW w:w="5078" w:type="dxa"/>
            <w:vAlign w:val="center"/>
          </w:tcPr>
          <w:p w14:paraId="499351A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p>
          <w:p w14:paraId="6EDA5D1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▲1、结构组成：水域救援漂浮救生绳为包芯绳结构，主承重部分由连续纤维制成，整绳粗细均匀、结构一致。绳皮编入1股贯穿全绳的蓄光发光纤维；</w:t>
            </w:r>
          </w:p>
          <w:p w14:paraId="5544D1A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2、主要应用场景：用于水域事故处置、水上救生、夜间或昏暗场合人员疏导、方向指示、危险标示、物资绑缚或拖拉之使用；"</w:t>
            </w:r>
          </w:p>
          <w:p w14:paraId="404489E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"二、标准规范及检验报告</w:t>
            </w:r>
          </w:p>
          <w:p w14:paraId="1FD32A9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★3、符合《消防水域救援漂浮救生绳试验大纲》并提供国家级检验机构出具的检验报告。</w:t>
            </w:r>
          </w:p>
          <w:p w14:paraId="721F45E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w:t>
            </w:r>
          </w:p>
          <w:p w14:paraId="2C82F3A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"三、检验报告内参数</w:t>
            </w:r>
          </w:p>
          <w:p w14:paraId="636F640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▲4、直径：9.5mm；</w:t>
            </w:r>
          </w:p>
          <w:p w14:paraId="06B6732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▲5、破断强度：断裂强力≥35KN;</w:t>
            </w:r>
          </w:p>
          <w:p w14:paraId="219D758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▲6、延伸率：≤3％；</w:t>
            </w:r>
          </w:p>
          <w:p w14:paraId="7ACF663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▲7、漂浮性能：经48h的漂浮性能试验，救生绳能始终漂浮在水面上；</w:t>
            </w:r>
          </w:p>
          <w:p w14:paraId="14F3368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10、线密度：＞45g/m；"</w:t>
            </w:r>
          </w:p>
          <w:p w14:paraId="124943B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"四、非检验报告内参数</w:t>
            </w:r>
          </w:p>
          <w:p w14:paraId="78B0FBC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无"</w:t>
            </w:r>
          </w:p>
        </w:tc>
        <w:tc>
          <w:tcPr>
            <w:tcW w:w="1045" w:type="dxa"/>
            <w:vAlign w:val="center"/>
          </w:tcPr>
          <w:p w14:paraId="6DA3843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200</w:t>
            </w:r>
          </w:p>
        </w:tc>
        <w:tc>
          <w:tcPr>
            <w:tcW w:w="1060" w:type="dxa"/>
            <w:vAlign w:val="center"/>
          </w:tcPr>
          <w:p w14:paraId="3116CAF7">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B3E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4AAA7EB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3</w:t>
            </w:r>
          </w:p>
        </w:tc>
        <w:tc>
          <w:tcPr>
            <w:tcW w:w="907" w:type="dxa"/>
            <w:vAlign w:val="center"/>
          </w:tcPr>
          <w:p w14:paraId="5296A6F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消防员水域救援头盔</w:t>
            </w:r>
          </w:p>
        </w:tc>
        <w:tc>
          <w:tcPr>
            <w:tcW w:w="5078" w:type="dxa"/>
            <w:vAlign w:val="center"/>
          </w:tcPr>
          <w:p w14:paraId="76099F2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777D381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 、结构组成：盔体、帽箍。</w:t>
            </w:r>
          </w:p>
          <w:p w14:paraId="12212A1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 、主要应用场景：用于消防员灭火救援作业中头部防护。"</w:t>
            </w:r>
          </w:p>
          <w:p w14:paraId="086F2BF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69A7633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★3、符合《消防员水域救援防护服试验大纲》标准要求。</w:t>
            </w:r>
          </w:p>
          <w:p w14:paraId="701C578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▲4、提供国家级检验机构出具的检验报告。"</w:t>
            </w:r>
          </w:p>
          <w:p w14:paraId="05AECC1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 xml:space="preserve">三、检验报告中可体现的参数 </w:t>
            </w:r>
          </w:p>
          <w:p w14:paraId="32454A9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消防员水域救援防护头盔由帽壳、缓冲层、下亥页带等组成，有可安装附件的接口。消防员水域救援防护头盔的保护范围符合xf44-2015《消防头盔》中全盔式头盔的要求。消防员水域救援防护头盔的帽壳有开孔排水设计。消防员水域救援防护头盔的头围和下亥页带尺寸能调节，消防员水域救援防 护头盔有耳部听力保障设计，消防员水域救援防护头盔的帽壳颜色为红色。</w:t>
            </w:r>
          </w:p>
          <w:p w14:paraId="2841EBF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6、击收能冲吸性：最大冲击力(N)≥3500。</w:t>
            </w:r>
          </w:p>
          <w:p w14:paraId="60F269D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"7、抗冲击加速度性能：</w:t>
            </w:r>
          </w:p>
          <w:p w14:paraId="762B6BD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▲7.1帽顶部：最大冲击加速度(gn)：≥140；</w:t>
            </w:r>
          </w:p>
          <w:p w14:paraId="0977322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▲7.2帽前部：最大冲击加速度(gn) ：≥380；加速度＞150gn,持续时间(ms)5.5 ；加速度＞200gn,持续时间(ms)2.8；</w:t>
            </w:r>
          </w:p>
          <w:p w14:paraId="0162608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▲7.3帽侧部:最大冲击加速度(gn)≥385；加速度＞150gn,持续时间(ms)5.8；加速度＞200gn,持续时间(ms)2.7。"</w:t>
            </w:r>
          </w:p>
          <w:p w14:paraId="3AB7EA2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8、耐穿透性能:钢锥未穿透头盔与头模产生接触。</w:t>
            </w:r>
          </w:p>
          <w:p w14:paraId="3F7F4FB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▲9、侧向刚性:帽壳最大变形(mm):≤30，卸载后变形 (mm) ：≤2。</w:t>
            </w:r>
          </w:p>
          <w:p w14:paraId="16C0A47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▲10、下颏带抗拉强度延伸长度≥17(mm)。</w:t>
            </w:r>
          </w:p>
          <w:p w14:paraId="25A4DB5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11、质量(不包括附件)(g):≤550。</w:t>
            </w:r>
          </w:p>
          <w:p w14:paraId="44815D4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四、非检验报告内参数</w:t>
            </w:r>
          </w:p>
          <w:p w14:paraId="199AFE1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1、无</w:t>
            </w:r>
          </w:p>
        </w:tc>
        <w:tc>
          <w:tcPr>
            <w:tcW w:w="1045" w:type="dxa"/>
            <w:vAlign w:val="center"/>
          </w:tcPr>
          <w:p w14:paraId="5E5C3CD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1060" w:type="dxa"/>
            <w:vAlign w:val="center"/>
          </w:tcPr>
          <w:p w14:paraId="4BCF5FCA">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B06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3904309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4</w:t>
            </w:r>
          </w:p>
        </w:tc>
        <w:tc>
          <w:tcPr>
            <w:tcW w:w="907" w:type="dxa"/>
            <w:vAlign w:val="center"/>
          </w:tcPr>
          <w:p w14:paraId="489E79F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激流救生衣</w:t>
            </w:r>
          </w:p>
        </w:tc>
        <w:tc>
          <w:tcPr>
            <w:tcW w:w="5078" w:type="dxa"/>
            <w:vAlign w:val="center"/>
          </w:tcPr>
          <w:p w14:paraId="4FF78C7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2204FFA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1、整体结构：采用背心式设计，胸襟采用塑钢开口拉链，并使用塑料拉头浮力片固定于布料夹层内，后领口手提式松紧提拉带设计。面料采用方形针织压力点和1680D材质的尼龙面料</w:t>
            </w:r>
          </w:p>
          <w:p w14:paraId="76EC0DE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2、主要应用场景：水域救援"</w:t>
            </w:r>
          </w:p>
          <w:p w14:paraId="52DF63B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0CD6545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★3、符合激流救生衣试验大纲并提供国家级检验机构出具的检测报告"</w:t>
            </w:r>
          </w:p>
          <w:p w14:paraId="70B2B89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三、检验报告中可体现的参数</w:t>
            </w:r>
          </w:p>
          <w:p w14:paraId="233577D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"▲5、急流救援型救生衣浮力120-160N。</w:t>
            </w:r>
          </w:p>
          <w:p w14:paraId="210CF67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▲6、救生衣能承受3200N的作用力30min而不损坏。</w:t>
            </w:r>
          </w:p>
          <w:p w14:paraId="3C2536C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▲7、救生衣肩部能承受900N的作用力30min而不损坏。</w:t>
            </w:r>
          </w:p>
          <w:p w14:paraId="6761FF0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▲8、档带与救生衣之间能承受900N的作用力而不发生脱离或损坏。</w:t>
            </w:r>
          </w:p>
          <w:p w14:paraId="2ACBD1A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9、产品属具：（1）每件救生衣配有细索系牢的哨笛1只。使用时，穿着者任何一只手能将哨笛移除或放入。（2）每件救生衣配有细索系牢的示位灯1只。（3）牛尾绳一根</w:t>
            </w:r>
          </w:p>
          <w:p w14:paraId="2E657DD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10、快脱带：人员穿着救生衣以任一方式下水，能在10s解开快脱带，且快脱带开启力不大于110N。</w:t>
            </w:r>
          </w:p>
          <w:p w14:paraId="2B7FDA9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▲11、快脱带在系紧状态下能承受不大于2500N的拉力而不发生误开启。</w:t>
            </w:r>
          </w:p>
          <w:p w14:paraId="119FD37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12、浮力损失：救生衣在淡水中浸泡24h后，其浮力损失≤1%。</w:t>
            </w:r>
          </w:p>
          <w:p w14:paraId="20BF171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浸水性能：（1）水中姿态：人员穿着救生衣以任意方式下水，在自由状态下漂浮，且人嘴高出水面120mm以上。（2）落水和跳水；穿着救生衣人员落水及跳水后：救生衣不发生明显移位或对穿着人员造成伤害；没有影响其水中姿态及浮力的破损；不对其属具及附件造成破坏</w:t>
            </w:r>
          </w:p>
          <w:p w14:paraId="080FF6E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腰部两侧设计≥2组梯型扣，尼龙织带调整松紧≥2公分，底部尼龙带≥4公分加固。面料采用方形针织压力点和1680D材质的尼龙面料。采用背心式设计，胸襟采用塑钢开口拉链，并使用塑料拉头浮力片固定于布料夹层内，后领口增加手提式松紧提拉带设计，方便于携带。</w:t>
            </w:r>
          </w:p>
          <w:p w14:paraId="7AFDAA7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▲15、环绕胸部设置一条多功能腰带，前胸是设置PFD自救装置，后背部设有牵引绳连接拉环，拉环拉绳破断力≥1200kg。</w:t>
            </w:r>
          </w:p>
          <w:p w14:paraId="19DE50B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16、活饵快卸系统：环绕胸部腰带一条，宽5cm的尼龙织带，使用一组不锈钢日型环及塑钢固定，拉环上配置一根快速牵引绳，可以固定于肩部，不影响救援动作。</w:t>
            </w:r>
          </w:p>
          <w:p w14:paraId="014227F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17、正面配置2个大容量排水网布构成的置物袋（可拆卸式设计），肩部配置一个对讲机口袋（可拆卸式设计）。后背同时也增加一个大容量置物袋（可拆卸式设计）。</w:t>
            </w:r>
          </w:p>
          <w:p w14:paraId="34F15EB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18、前后面缝制≥1m的反光条，下摆部带有连接点，用于连接腿带固定带，以防水流水浪将救生衣冲脱。救生衣装有能防止穿着人员入水后救生衣上浮窜动的裆带。"</w:t>
            </w:r>
          </w:p>
        </w:tc>
        <w:tc>
          <w:tcPr>
            <w:tcW w:w="1045" w:type="dxa"/>
            <w:vAlign w:val="center"/>
          </w:tcPr>
          <w:p w14:paraId="073D088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1060" w:type="dxa"/>
            <w:vAlign w:val="center"/>
          </w:tcPr>
          <w:p w14:paraId="642F0CC6">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1258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0C614C6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5</w:t>
            </w:r>
          </w:p>
        </w:tc>
        <w:tc>
          <w:tcPr>
            <w:tcW w:w="907" w:type="dxa"/>
            <w:vAlign w:val="center"/>
          </w:tcPr>
          <w:p w14:paraId="64933EF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救生圈</w:t>
            </w:r>
          </w:p>
        </w:tc>
        <w:tc>
          <w:tcPr>
            <w:tcW w:w="5078" w:type="dxa"/>
            <w:vAlign w:val="center"/>
          </w:tcPr>
          <w:p w14:paraId="0EEE9145">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1、整体结构：救生圈采用聚乙烯中空成型复合救生圈，采用高密度聚乙烯为壳体，内充聚氨酯泡沫塑料为垫料，浮力材料为聚氨酯泡沫，逆反反光片。</w:t>
            </w:r>
          </w:p>
          <w:p w14:paraId="7429BCBC">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★1、符合GB/T4302-2008《救生圈》标准要求并提供国家级检验机构出具的检验报告。</w:t>
            </w:r>
          </w:p>
          <w:p w14:paraId="6B1AFB89">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"▲4、重量≥2.50kg /个；</w:t>
            </w:r>
          </w:p>
          <w:p w14:paraId="2F0A298F">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▲5、浮力≥14KG；</w:t>
            </w:r>
          </w:p>
          <w:p w14:paraId="3A73EAD8">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6、尺寸：外径≥700mm，内径≥440mm，厚度≥100mm；</w:t>
            </w:r>
          </w:p>
          <w:p w14:paraId="2BDB3C93">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7、能在淡水中支撑≥14.5kg的铁块时间≥24小时。"</w:t>
            </w:r>
          </w:p>
          <w:p w14:paraId="2B1EED2D">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"四、非检验报告内参数</w:t>
            </w:r>
          </w:p>
          <w:p w14:paraId="0D8BCE57">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无"</w:t>
            </w:r>
          </w:p>
        </w:tc>
        <w:tc>
          <w:tcPr>
            <w:tcW w:w="1045" w:type="dxa"/>
            <w:vAlign w:val="center"/>
          </w:tcPr>
          <w:p w14:paraId="0EF0EDB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w:t>
            </w:r>
          </w:p>
        </w:tc>
        <w:tc>
          <w:tcPr>
            <w:tcW w:w="1060" w:type="dxa"/>
            <w:vAlign w:val="center"/>
          </w:tcPr>
          <w:p w14:paraId="5DD78F29">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DC1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61A3B57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6</w:t>
            </w:r>
          </w:p>
        </w:tc>
        <w:tc>
          <w:tcPr>
            <w:tcW w:w="907" w:type="dxa"/>
            <w:vAlign w:val="center"/>
          </w:tcPr>
          <w:p w14:paraId="72580F5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湿式水域救援服</w:t>
            </w:r>
          </w:p>
        </w:tc>
        <w:tc>
          <w:tcPr>
            <w:tcW w:w="5078" w:type="dxa"/>
            <w:vAlign w:val="center"/>
          </w:tcPr>
          <w:p w14:paraId="3B1728E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656A91B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1、结构组成：消防员水域救援湿式防护服为上装和下装一体结构，裤脚和袖口设有可调节开口拉链，在肩部、臀部和膝部附有耐磨增强的补强材料。</w:t>
            </w:r>
          </w:p>
          <w:p w14:paraId="7A619D3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2、主要应用场景：主要应用于水域搜救，水域救援，抗洪抢险等领域。防止礁石及水中水母、海葵等生物攻击，使身体不受伤害。"</w:t>
            </w:r>
          </w:p>
          <w:p w14:paraId="53B6CCE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3E2C83F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★3、符合《消防员水域救援防护服试验大纲》标准要求。</w:t>
            </w:r>
          </w:p>
          <w:p w14:paraId="46D5BCF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▲4、提供国家级检验机构出具的检验报告。"</w:t>
            </w:r>
          </w:p>
          <w:p w14:paraId="6A6EBB9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三、检验报告中可体现的参数</w:t>
            </w:r>
          </w:p>
          <w:p w14:paraId="327D6C5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5、拉伸强度：经纬向≥130N。</w:t>
            </w:r>
          </w:p>
          <w:p w14:paraId="3E8A32F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6、接缝强度：经纬向≥100N。</w:t>
            </w:r>
          </w:p>
          <w:p w14:paraId="3368EF7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7、耐磨性能：服装的面料经2000次循环摩擦后，试样末被磨穿。</w:t>
            </w:r>
          </w:p>
          <w:p w14:paraId="7B4C7EF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 xml:space="preserve">8、服装的补强材料经6000次循环摩擦后，试样末被磨穿。 </w:t>
            </w:r>
          </w:p>
          <w:p w14:paraId="7A453F9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9、耐静水压性能：服装的面料在静水压100kPa下5min后，试样未出现水滴渗漏。</w:t>
            </w:r>
          </w:p>
          <w:p w14:paraId="3AC338C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10、穿着时间：≤30S。</w:t>
            </w:r>
          </w:p>
          <w:p w14:paraId="391599E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11、穿着者可活动性：穿着服装的人员能行走、爬行、游泳。</w:t>
            </w:r>
          </w:p>
          <w:p w14:paraId="15AE4EB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▲12、质量(g)：小于等于1700g。</w:t>
            </w:r>
          </w:p>
          <w:p w14:paraId="550A3B1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 xml:space="preserve">13、高弹氯丁橡胶材质，厚度≥2.5mm；肩部和胳臂处增加不少于1mm的。                                                                                                                                                                                                                                                                                                                                                                                                   </w:t>
            </w:r>
          </w:p>
          <w:p w14:paraId="4B00D82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14、所有缝线处采用暗针缝制，并且做加固压胶处理。</w:t>
            </w:r>
          </w:p>
          <w:p w14:paraId="4E09608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15、裤脚和袖口设有可调节开口大小的拉链。</w:t>
            </w:r>
          </w:p>
          <w:p w14:paraId="2432053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16、臀部和膝部位置敷有用于增强耐磨性的补强材料。</w:t>
            </w:r>
          </w:p>
          <w:p w14:paraId="0A970B9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17、手臂部和腿部都有荧光反射区；手臂印有RESCUE反光字样。</w:t>
            </w:r>
          </w:p>
          <w:p w14:paraId="7346AE9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 xml:space="preserve">四、非检验报告内参数                                                                                                                                                                                                                                                                                                                                                                                                   </w:t>
            </w:r>
          </w:p>
          <w:p w14:paraId="58228B1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无</w:t>
            </w:r>
          </w:p>
        </w:tc>
        <w:tc>
          <w:tcPr>
            <w:tcW w:w="1045" w:type="dxa"/>
            <w:vAlign w:val="center"/>
          </w:tcPr>
          <w:p w14:paraId="11FFC68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1060" w:type="dxa"/>
            <w:vAlign w:val="center"/>
          </w:tcPr>
          <w:p w14:paraId="196C6EE9">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11C7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696427C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7</w:t>
            </w:r>
          </w:p>
        </w:tc>
        <w:tc>
          <w:tcPr>
            <w:tcW w:w="907" w:type="dxa"/>
            <w:vAlign w:val="center"/>
          </w:tcPr>
          <w:p w14:paraId="53E3353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水域救援手套</w:t>
            </w:r>
          </w:p>
        </w:tc>
        <w:tc>
          <w:tcPr>
            <w:tcW w:w="5078" w:type="dxa"/>
            <w:vAlign w:val="center"/>
          </w:tcPr>
          <w:p w14:paraId="34BE9C4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610D718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 xml:space="preserve">1、结构组成：消防员水域救援防护手套为五指分离式。消防员水域救援防护手套与水域救援服袖口配合穿戴，手套口有收紧设计，能限制杂物进入手套内。 </w:t>
            </w:r>
          </w:p>
          <w:p w14:paraId="5DFBD94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2、主要应用场景：用于消防员灭火救援作业中手部防护。 "</w:t>
            </w:r>
          </w:p>
          <w:p w14:paraId="2F21830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7B1D412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★3、满足《消防员水域救援防护服试验大纲》并提供提供国家级权威检验机构出具的检验报告 "</w:t>
            </w:r>
          </w:p>
          <w:p w14:paraId="477F55D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"三、检验报告内参数</w:t>
            </w:r>
          </w:p>
          <w:p w14:paraId="5AF3373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4、结构款式：消防员水域救援防护手套为五指分离式。掌心和手 指部位敷有用于增强外层耐磨性的材料。手套袖筒长度超出腕骨 ≥60mm。 "</w:t>
            </w:r>
          </w:p>
          <w:p w14:paraId="5805088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5、耐磨性能 (次)：掌心面材料：≥5000</w:t>
            </w:r>
          </w:p>
          <w:p w14:paraId="40598FB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6、抗切割性能割破力(N)：掌心面材料：＞5</w:t>
            </w:r>
          </w:p>
          <w:p w14:paraId="13234AF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7、撕破强力：掌心面材料≥102</w:t>
            </w:r>
          </w:p>
          <w:p w14:paraId="79654B5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▲8、抗刺穿性能：掌心面刺穿力(N)≥122</w:t>
            </w:r>
          </w:p>
          <w:p w14:paraId="40EE1BE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▲9、抓握性能：拉重力比(%)≥85</w:t>
            </w:r>
          </w:p>
          <w:p w14:paraId="55C977D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10、穿戴性能： 穿戴时间(s)≤7</w:t>
            </w:r>
          </w:p>
          <w:p w14:paraId="59A018E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四、非检验报告内参数:无</w:t>
            </w:r>
          </w:p>
        </w:tc>
        <w:tc>
          <w:tcPr>
            <w:tcW w:w="1045" w:type="dxa"/>
            <w:vAlign w:val="center"/>
          </w:tcPr>
          <w:p w14:paraId="2EA40EF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1060" w:type="dxa"/>
            <w:vAlign w:val="center"/>
          </w:tcPr>
          <w:p w14:paraId="34DA0991">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BC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196D95E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8</w:t>
            </w:r>
          </w:p>
        </w:tc>
        <w:tc>
          <w:tcPr>
            <w:tcW w:w="907" w:type="dxa"/>
            <w:vAlign w:val="center"/>
          </w:tcPr>
          <w:p w14:paraId="721FC0C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水域救援靴</w:t>
            </w:r>
          </w:p>
        </w:tc>
        <w:tc>
          <w:tcPr>
            <w:tcW w:w="5078" w:type="dxa"/>
            <w:vAlign w:val="center"/>
          </w:tcPr>
          <w:p w14:paraId="6CCF34F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3A40C04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1、结构组成：由靴头、靴外底、靴跟、带舒适层的靴帮、带防刺穿层的靴底等组成</w:t>
            </w:r>
          </w:p>
          <w:p w14:paraId="741ADF7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2、主要应用场景：用于消防员水域救援作业中脚部防护。"</w:t>
            </w:r>
          </w:p>
          <w:p w14:paraId="1E2B66F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26CE2FA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★3、符合《消防水域救援防护靴试验大纲》并提供国家级检验机构出具的检验报告。"</w:t>
            </w:r>
          </w:p>
          <w:p w14:paraId="731A38B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三、检验报告中可体现的参数</w:t>
            </w:r>
          </w:p>
          <w:p w14:paraId="2112146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5、结构款式:消防员水域救援防护靴由外底、靴外帮、内置袜套、带防刺穿层的靴内底等部分组成,从靴内后跟中央起至靴口最低处的高度为 220mm,靴内底防刺穿层覆盖整个靴内底，在不损坏整靴的情况下 未被移动,跟部有配合脚蹊穿戴的防脱结构,以绑带形式紧固，并有防意外松脱设计,主体颜色采用黑色。</w:t>
            </w:r>
          </w:p>
          <w:p w14:paraId="75CE63D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"6、物理机械性能:</w:t>
            </w:r>
          </w:p>
          <w:p w14:paraId="267DA3C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 xml:space="preserve">▲6.1靴帮:抗张强度:横向（N/mm）≥15，纵向（N/mm）≥15； </w:t>
            </w:r>
          </w:p>
          <w:p w14:paraId="7605892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▲6.2靴面厚度（mm）5±10%，撕裂强度（N/mm）≥165 ；</w:t>
            </w:r>
          </w:p>
          <w:p w14:paraId="4BAD0AB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▲6.3外底: 断裂拉伸强度（MPa）≥19，拉断伸长率（%）≥500。"</w:t>
            </w:r>
          </w:p>
          <w:p w14:paraId="3448F82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7、靴帮耐弯折性能:无裂纹、松面、掉浆等现象。</w:t>
            </w:r>
          </w:p>
          <w:p w14:paraId="3D83611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8、靴帮抗切割性能:未被割穿。</w:t>
            </w:r>
          </w:p>
          <w:p w14:paraId="230B0F8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▲9、靴帮抗刺穿性能:最大抗刺穿力（N）≥90。</w:t>
            </w:r>
          </w:p>
          <w:p w14:paraId="1634BB0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▲10、靴底抗刺穿性能:抗刺穿力（N）≥1300。</w:t>
            </w:r>
          </w:p>
          <w:p w14:paraId="4AD4E7C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11、外底耐弯折性能:断裂长度（mm）≤10。</w:t>
            </w:r>
          </w:p>
          <w:p w14:paraId="5E34723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12、靴帮/外底结合强度（未釆用缝合式结构）（N/mm）: ≥5。</w:t>
            </w:r>
          </w:p>
          <w:p w14:paraId="4ACB98F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13、防滑性能:始滑角（°）：≥15。</w:t>
            </w:r>
          </w:p>
          <w:p w14:paraId="0AE7C15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14、金属衬垫耐腐性能</w:t>
            </w:r>
          </w:p>
          <w:p w14:paraId="27CEC61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15、质量：≤1.5KG。</w:t>
            </w:r>
          </w:p>
          <w:p w14:paraId="43744B9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四、非检验报告内参数</w:t>
            </w:r>
          </w:p>
          <w:p w14:paraId="5C348C9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无</w:t>
            </w:r>
          </w:p>
        </w:tc>
        <w:tc>
          <w:tcPr>
            <w:tcW w:w="1045" w:type="dxa"/>
            <w:vAlign w:val="center"/>
          </w:tcPr>
          <w:p w14:paraId="742A013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1060" w:type="dxa"/>
            <w:vAlign w:val="center"/>
          </w:tcPr>
          <w:p w14:paraId="152CE26D">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D95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167E5FF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9</w:t>
            </w:r>
          </w:p>
        </w:tc>
        <w:tc>
          <w:tcPr>
            <w:tcW w:w="907" w:type="dxa"/>
            <w:vAlign w:val="center"/>
          </w:tcPr>
          <w:p w14:paraId="580C4ED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割绳刀</w:t>
            </w:r>
          </w:p>
        </w:tc>
        <w:tc>
          <w:tcPr>
            <w:tcW w:w="5078" w:type="dxa"/>
            <w:vAlign w:val="center"/>
          </w:tcPr>
          <w:p w14:paraId="6FDFD98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14065F8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1、结构组成：由钛合金、刀鞘、刀柄部件组成。</w:t>
            </w:r>
          </w:p>
          <w:p w14:paraId="638FD15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2、主要应用场景：采用优质潜水材质--TC4钛合金,弧形刀刃，重量轻，优秀的抗海锈能能力，适合海洋环境和水下环境使用。"</w:t>
            </w:r>
          </w:p>
          <w:p w14:paraId="7770016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5117323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▲3、提供国家级检验机构出具的检验报告。"</w:t>
            </w:r>
          </w:p>
          <w:p w14:paraId="22361FB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三、检验报告中可体现的参数</w:t>
            </w:r>
          </w:p>
          <w:p w14:paraId="1F55F4F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4、刀背设有一段开刃的锯齿，锯齿排布均匀，刃口锋利，可快速锯断树木、缠绕的网具、绳索、水草等。</w:t>
            </w:r>
          </w:p>
          <w:p w14:paraId="146E9C1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5、刀刃设有U形倒钩，能够快速割断缠绕的网具、绳索。</w:t>
            </w:r>
          </w:p>
          <w:p w14:paraId="7B7A9DF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6、刀头型式为平头，可作为一字螺丝刀使用。</w:t>
            </w:r>
          </w:p>
          <w:p w14:paraId="65CE3CB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7、ABS防滑刀柄，两侧向内凹陷，贴合手指，握持舒适受力。</w:t>
            </w:r>
          </w:p>
          <w:p w14:paraId="05A9289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8、刀柄末端设有绳孔，用于穿绳系固，防止使用过程中潜水刀脱手。</w:t>
            </w:r>
          </w:p>
          <w:p w14:paraId="668D59B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9、刀鞘和刀身保险链接,保证水下刀身和刀鞘不会轻易分离，一按式开关设计同时，紧急情况时，让刀体安全快速地拔出刀鞘槽，且方便单手操作。</w:t>
            </w:r>
          </w:p>
          <w:p w14:paraId="1E48EC9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▲10、刀头形式：平头。</w:t>
            </w:r>
          </w:p>
          <w:p w14:paraId="2C9887F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▲11、刀体材料：钛合金。</w:t>
            </w:r>
          </w:p>
          <w:p w14:paraId="3D6C97F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▲12、硬度：≥39HRC。</w:t>
            </w:r>
          </w:p>
          <w:p w14:paraId="775E9FB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▲13、刀鞘材料：ABS，刀柄材料：ABS。</w:t>
            </w:r>
          </w:p>
          <w:p w14:paraId="6F71D86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▲14、设计规格：刀长17(±1)CM，刀片长刀长约7(±1)CM，刀片厚刀长约3MM。</w:t>
            </w:r>
          </w:p>
          <w:p w14:paraId="3DC7863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四、非检验报告内参数</w:t>
            </w:r>
          </w:p>
          <w:p w14:paraId="0ADF84C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无</w:t>
            </w:r>
          </w:p>
        </w:tc>
        <w:tc>
          <w:tcPr>
            <w:tcW w:w="1045" w:type="dxa"/>
            <w:vAlign w:val="center"/>
          </w:tcPr>
          <w:p w14:paraId="0587219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1060" w:type="dxa"/>
            <w:vAlign w:val="center"/>
          </w:tcPr>
          <w:p w14:paraId="5F700BDE">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1D30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1373E3C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10</w:t>
            </w:r>
          </w:p>
        </w:tc>
        <w:tc>
          <w:tcPr>
            <w:tcW w:w="907" w:type="dxa"/>
            <w:vAlign w:val="center"/>
          </w:tcPr>
          <w:p w14:paraId="357C859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机动橡皮舟、舷外机</w:t>
            </w:r>
          </w:p>
        </w:tc>
        <w:tc>
          <w:tcPr>
            <w:tcW w:w="5078" w:type="dxa"/>
            <w:vAlign w:val="center"/>
          </w:tcPr>
          <w:p w14:paraId="297D43AE">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机动橡皮舟："一、基本描述：</w:t>
            </w:r>
          </w:p>
          <w:p w14:paraId="36D6B0AB">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1、组成结构：船，船桨，高压充气泵，维修工具。</w:t>
            </w:r>
          </w:p>
          <w:p w14:paraId="796637B1">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2、主要应用场景：适用于环境恶劣，水流湍急的防汛救援工作的一款功能型充气艇。"</w:t>
            </w:r>
          </w:p>
          <w:p w14:paraId="024DCD7F">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012D403E">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3、符合GB/T 19001-2016执行标准。</w:t>
            </w:r>
          </w:p>
          <w:p w14:paraId="17184410">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4、提供船级社认证。</w:t>
            </w:r>
          </w:p>
          <w:p w14:paraId="78D96BB5">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5、★提供CNAS认证。"</w:t>
            </w:r>
          </w:p>
          <w:p w14:paraId="2BF5CE70">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"三、检验报告内参数</w:t>
            </w:r>
          </w:p>
          <w:p w14:paraId="528941FC">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▲1、船长 4200±50mm，船宽 1820±30mm，船高 585±20mm，提供检测证书为佐证。</w:t>
            </w:r>
          </w:p>
          <w:p w14:paraId="5CA464B2">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▲2、气囊数 3+3+2 个，结构:船仓“V”型充气拉丝底板，M 型艇底，船底增项，水阻低，破水效果更好；底部</w:t>
            </w:r>
          </w:p>
          <w:p w14:paraId="02ECE0EF">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及船头附带夹网布装甲，增加船体的耐磨性与防穿刺强度。</w:t>
            </w:r>
          </w:p>
          <w:p w14:paraId="2E863C85">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3、艇净重≤77KG，干舷≥317mm，承载重量≥920KG，提供检测证书为佐证</w:t>
            </w:r>
          </w:p>
          <w:p w14:paraId="64CCEF06">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▲4、艇身材质：德国进口米勒 PVC 夹网材质，厚度≤0.9mm。</w:t>
            </w:r>
          </w:p>
          <w:p w14:paraId="0B2119FB">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5、船体结构：底板为一体式三气室拉丝底板。底部水刀两端为坡面设计，水刀之间前端间距≥后端间距。根据</w:t>
            </w:r>
          </w:p>
          <w:p w14:paraId="78D63A57">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流体力学原理，采用涡旋式导流倾斜船艉及涡旋式导流水刀，速度更快，倒车寻迹性更强，更灵活。</w:t>
            </w:r>
          </w:p>
          <w:p w14:paraId="30714E0F">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6、艇体工艺：浮筒采用热风技术、采用抛边工艺，气室密封性和耐压性更强。</w:t>
            </w:r>
          </w:p>
          <w:p w14:paraId="282E986C">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7、耐压性：满载状态，船艇各气囊加压至 1.1 倍额定压力后静置 30min，无异常。提供国家消防装备质量监</w:t>
            </w:r>
          </w:p>
          <w:p w14:paraId="19B1F51C">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督检验中心出具的检测报告作为佐证。</w:t>
            </w:r>
          </w:p>
          <w:p w14:paraId="664E3DB7">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8、★气密性：空载状态，浮筒额定压力充气至 0.025Mpa 后，静置 60min 后剩余压力为 0.025Mpa；空载状</w:t>
            </w:r>
          </w:p>
          <w:p w14:paraId="6238630F">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态，龙骨额定压力充气至 0.035Mpa 后，静置 60min 后剩余压力为 0.035Mpa，提供国家消防装备质量监督</w:t>
            </w:r>
          </w:p>
          <w:p w14:paraId="5194FBF8">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检验中心出具的检测报告作为佐证。</w:t>
            </w:r>
          </w:p>
          <w:p w14:paraId="580A9B89">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9、★安全及性能要求：静态稳性≤16°；空载状态，排出 500L 水所用时间≤120s；载重 460kg 时，配30马力</w:t>
            </w:r>
          </w:p>
          <w:p w14:paraId="20F3CF60">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船外机航速≥25km/h；空载状态，航速≥16km/h 时，左右回转直径均≤6.8m（提供国家消防装备质量监督检</w:t>
            </w:r>
          </w:p>
          <w:p w14:paraId="50889A5E">
            <w:pPr>
              <w:pStyle w:val="13"/>
              <w:keepNext w:val="0"/>
              <w:keepLines w:val="0"/>
              <w:pageBreakBefore w:val="0"/>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验中心出具的检测报告作为佐证）。</w:t>
            </w:r>
          </w:p>
          <w:p w14:paraId="1FCD80F8">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vertAlign w:val="baseline"/>
                <w:lang w:val="en-US" w:eastAsia="zh-CN" w:bidi="ar-SA"/>
              </w:rPr>
              <w:t>10、</w:t>
            </w:r>
            <w:r>
              <w:rPr>
                <w:rFonts w:hint="eastAsia" w:ascii="宋体" w:hAnsi="宋体" w:eastAsia="宋体" w:cs="宋体"/>
                <w:color w:val="000000"/>
                <w:kern w:val="0"/>
                <w:sz w:val="15"/>
                <w:szCs w:val="15"/>
                <w:highlight w:val="none"/>
                <w:vertAlign w:val="baseline"/>
                <w:lang w:val="en-US" w:eastAsia="zh-CN" w:bidi="ar-SA"/>
              </w:rPr>
              <w:t>艇身配置：底部稳定水刀一对；"</w:t>
            </w:r>
          </w:p>
          <w:p w14:paraId="431E65CC">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舷外机："一、基本描述</w:t>
            </w:r>
          </w:p>
          <w:p w14:paraId="1BCA6868">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1、结构组成：发动机，叶片，壳体，控制开关，油箱等</w:t>
            </w:r>
          </w:p>
          <w:p w14:paraId="5058786E">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2、主要应用场景：用于抢险救援时使用。"</w:t>
            </w:r>
          </w:p>
          <w:p w14:paraId="12A52C11">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"★二、标准规范及检验报告：符合《CB/T 4505-2020 舷外机通用技术规范》要求</w:t>
            </w:r>
          </w:p>
          <w:p w14:paraId="1F803601">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三、检验报告内参数：无</w:t>
            </w:r>
          </w:p>
          <w:p w14:paraId="7C8A332C">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四、非检验报告内参数：</w:t>
            </w:r>
          </w:p>
          <w:p w14:paraId="08BC65A4">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4.排量:≥ 740CM3</w:t>
            </w:r>
          </w:p>
          <w:p w14:paraId="64708443">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5.缸径X行程: ≥65.0 X 75.0MM</w:t>
            </w:r>
          </w:p>
          <w:p w14:paraId="6997FD51">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6.输出功率: ≥22.5KW@5500R/MIN</w:t>
            </w:r>
          </w:p>
          <w:p w14:paraId="5233B97D">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7.燃油感应系统:燃油喷射</w:t>
            </w:r>
          </w:p>
          <w:p w14:paraId="2ACCC8C2">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 xml:space="preserve">8.弦外机轴长≤ 390MM </w:t>
            </w:r>
          </w:p>
          <w:p w14:paraId="69C427CC">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▲9.重量: ≤ 75KG</w:t>
            </w:r>
          </w:p>
          <w:p w14:paraId="0AFE5734">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10.启动方式:电启动、拉绳启动</w:t>
            </w:r>
          </w:p>
          <w:p w14:paraId="79BE38FE">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11.润滑系统:湿槽润滑</w:t>
            </w:r>
          </w:p>
          <w:p w14:paraId="4964CBC2">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12.熄火绳不少于10个。</w:t>
            </w:r>
          </w:p>
          <w:p w14:paraId="430C5858">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13.配备浆片保护罩。</w:t>
            </w:r>
          </w:p>
          <w:p w14:paraId="25DFC1C0">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14.配备电动充气泵（特殊需求）</w:t>
            </w:r>
          </w:p>
          <w:p w14:paraId="6454335C">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15、冷却系统：水冷</w:t>
            </w:r>
          </w:p>
          <w:p w14:paraId="79E6199B">
            <w:pPr>
              <w:pStyle w:val="13"/>
              <w:keepNext w:val="0"/>
              <w:keepLines w:val="0"/>
              <w:pageBreakBefore w:val="0"/>
              <w:numPr>
                <w:ilvl w:val="0"/>
                <w:numId w:val="0"/>
              </w:numPr>
              <w:kinsoku/>
              <w:wordWrap/>
              <w:overflowPunct/>
              <w:topLinePunct w:val="0"/>
              <w:autoSpaceDE/>
              <w:autoSpaceDN/>
              <w:bidi w:val="0"/>
              <w:adjustRightInd/>
              <w:snapToGrid w:val="0"/>
              <w:spacing w:after="0" w:line="240" w:lineRule="auto"/>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16、油箱容积≥24L</w:t>
            </w:r>
          </w:p>
        </w:tc>
        <w:tc>
          <w:tcPr>
            <w:tcW w:w="1045" w:type="dxa"/>
            <w:vAlign w:val="center"/>
          </w:tcPr>
          <w:p w14:paraId="5161DA1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机动橡皮舟1个、舷外机3个</w:t>
            </w:r>
          </w:p>
        </w:tc>
        <w:tc>
          <w:tcPr>
            <w:tcW w:w="1060" w:type="dxa"/>
            <w:vAlign w:val="center"/>
          </w:tcPr>
          <w:p w14:paraId="1D52C452">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8592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0E9983F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i w:val="0"/>
                <w:iCs w:val="0"/>
                <w:color w:val="000000"/>
                <w:kern w:val="0"/>
                <w:sz w:val="15"/>
                <w:szCs w:val="15"/>
                <w:u w:val="none"/>
                <w:lang w:val="en-US" w:eastAsia="zh-CN" w:bidi="ar"/>
              </w:rPr>
              <w:t>11</w:t>
            </w:r>
          </w:p>
        </w:tc>
        <w:tc>
          <w:tcPr>
            <w:tcW w:w="907" w:type="dxa"/>
            <w:vAlign w:val="center"/>
          </w:tcPr>
          <w:p w14:paraId="3BE86A1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水域抛绳包</w:t>
            </w:r>
          </w:p>
        </w:tc>
        <w:tc>
          <w:tcPr>
            <w:tcW w:w="5078" w:type="dxa"/>
            <w:vAlign w:val="center"/>
          </w:tcPr>
          <w:p w14:paraId="7B85E1EF">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6F368B1E">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1、组成结构：绳包、水上警示灯、扣锁等。</w:t>
            </w:r>
          </w:p>
          <w:p w14:paraId="4B5BD32C">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2、主要应用场景：用于抛向水中被困人员漂浮绳的功能。"</w:t>
            </w:r>
          </w:p>
          <w:p w14:paraId="3F7918C5">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1DA8915C">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★3、提供省级检验机构出具的检验报告</w:t>
            </w:r>
          </w:p>
          <w:p w14:paraId="549D439B">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w:t>
            </w:r>
          </w:p>
          <w:p w14:paraId="0058C07E">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"三、检验报告内参数</w:t>
            </w:r>
          </w:p>
          <w:p w14:paraId="4D2D361B">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▲5、断裂强力≥4.2KN"</w:t>
            </w:r>
          </w:p>
          <w:p w14:paraId="20313C93">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"四、非检验报告内参数</w:t>
            </w:r>
          </w:p>
          <w:p w14:paraId="592A2188">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6、配置直径 12±1mm，拉力≥30KN,长度≥20m 的救援绳 1 根。</w:t>
            </w:r>
          </w:p>
          <w:p w14:paraId="664877A4">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7、绳索浸泡≥12小时，下降距离水面≤1CM。</w:t>
            </w:r>
          </w:p>
          <w:p w14:paraId="56DDFCEE">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8、配备水上救生手环≥1个。</w:t>
            </w:r>
          </w:p>
          <w:p w14:paraId="558F4989">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9、带有连接扣锁≥2个。</w:t>
            </w:r>
          </w:p>
          <w:p w14:paraId="7173FE71">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10、镂空手提收纳包 1 个。</w:t>
            </w:r>
          </w:p>
          <w:p w14:paraId="2E50C680">
            <w:pPr>
              <w:pStyle w:val="13"/>
              <w:keepNext w:val="0"/>
              <w:keepLines w:val="0"/>
              <w:pageBreakBefore w:val="0"/>
              <w:kinsoku/>
              <w:wordWrap/>
              <w:overflowPunct/>
              <w:topLinePunct w:val="0"/>
              <w:autoSpaceDE/>
              <w:autoSpaceDN/>
              <w:bidi w:val="0"/>
              <w:adjustRightInd/>
              <w:snapToGrid w:val="0"/>
              <w:spacing w:after="0" w:line="240" w:lineRule="auto"/>
              <w:jc w:val="left"/>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11、水上警示灯不少于2个。                                                                  12、晚上具有明显放光作用。"</w:t>
            </w:r>
          </w:p>
        </w:tc>
        <w:tc>
          <w:tcPr>
            <w:tcW w:w="1045" w:type="dxa"/>
            <w:vAlign w:val="center"/>
          </w:tcPr>
          <w:p w14:paraId="078EDAB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1060" w:type="dxa"/>
            <w:vAlign w:val="center"/>
          </w:tcPr>
          <w:p w14:paraId="599C42A9">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D9A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837" w:type="dxa"/>
            <w:gridSpan w:val="5"/>
            <w:shd w:val="clear" w:color="auto" w:fill="E7E6E6" w:themeFill="background2"/>
            <w:vAlign w:val="center"/>
          </w:tcPr>
          <w:p w14:paraId="4EBEAF72">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8"/>
                <w:szCs w:val="18"/>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包四</w:t>
            </w:r>
          </w:p>
        </w:tc>
      </w:tr>
      <w:tr w14:paraId="13F9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63DBE41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907" w:type="dxa"/>
            <w:vAlign w:val="center"/>
          </w:tcPr>
          <w:p w14:paraId="70E261D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手提式强光照明灯</w:t>
            </w:r>
          </w:p>
        </w:tc>
        <w:tc>
          <w:tcPr>
            <w:tcW w:w="5078" w:type="dxa"/>
            <w:vAlign w:val="center"/>
          </w:tcPr>
          <w:p w14:paraId="2108259B">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▲1、结构组成：方位灯、充电口、灯具、提手、电量显示、按键开关。</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2、主要应用场景：适合于消防行业日常灭火、救援强光手提照明及指挥现场工作照明。</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▲4、出具的检测检验报告应包含检测标准依据：GB30734-2014《消防员照明灯具》。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▲5、提供国家防爆产品质量检验中心出具的防爆合格证。</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6、外观要求：外观应清洁、光滑、整齐、无污损、腐蚀、划伤、毛刺、裂痕、变形现象。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7、灯具的供电电源应采用可充电电池；灯具的充电器应采用插头与交直流转换器分离式结构，灯具或充电器应设置充点电保护电路；灯具的防爆性能应符合GB3836.1-2010的要求。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8、防爆等级：ExdiaIICT6Gb隔爆+本质安全型防爆设计，适合在一区、二区各种易燃易爆场所使用防护等级：IP68 提供防爆合格证</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9、灯具应具备强弱光切换功能，具备闪烁方式的低电压警告功能。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10、质量≦1.2kg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▲11、照度：强光平均值≧2500lx，强光最小值≧1600lx；弱光平均值≧1600lx，弱光最小值≧900lx。</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▲12、连续稳定工作时间：强光≧300min，弱光≧600min。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13、低电压报警时间：强光≧14s，弱光≧14s。</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14、低电压状态下连续工作时间：强光≧15min，弱光≧30min。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15、绝缘性能：在常温环境下，灯具带电端子与外壳间的绝缘电阻应不小于20MΩ，交变湿热试验后应不小于5MΩ。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17、低温性能：在-25±2℃的温度下，持续2h，灯具应能正常进行开、关和强、弱光切换。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18、高温性能：在55±2℃的温度下，持续2h，灯具应能正常进行开、关和强、弱光切换。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19、开关经50000次可靠性试验后应保持完好，且灯具应能正常点亮并实现强、弱光切换。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▲20、外壳防护等级为IP66/IP68，潜水深度1.5m，持续时间1h。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灯具标志：灯具明显位置处应有清晰且与灯具为一体的标志，包括以下内容：a）产品名称；b）产品型号：c）防护等级（等级为IP66/IP68时，需标注潜水深度和持续时间）；d）防爆标志；e）生产日期；f）产品编号；e）生产厂名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22、额定电压：≥DC22.2V</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23、额定容量≥2.5Ah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▲24、光源功率：≥2*12W（聚光），≥6W（泛光）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25、充电时间：≤3h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26、外形尺寸：≤φ80x200mm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27、聚光强光≥4h，聚光工作光≥8h，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泛光单侧强光≥7h，泛光双侧强光≥3h，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泛光单侧工作灯≥15h，泛光双侧工作灯≥7h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28、灯具需采用双光型光源配置，需同时具有暖白光源及冷白光源可通过开关控制实现冷暖色光线的转换，且外部具备本安式提手</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29、灯具需具有聚光（灯头）、泛光（灯体两侧）、红蓝警示（灯体两侧）多种工作模式适用于救援作业照明</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30、灯具可手提、肩挎、磁力吸附三种携带方式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▲31、灯具具有4段式LED电量显示装置，能清晰呈现使用剩余电量，且尾部设计有高穿透性、高可视性方位灯，能在作业现场清晰显示持灯人员位置（需提供样品测试）</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32、灯具需采用快充设计，整体充电时间不大于3h。需具有多段式LED电量显示装置。灯具需具备低电压警示功能。</w:t>
            </w:r>
          </w:p>
        </w:tc>
        <w:tc>
          <w:tcPr>
            <w:tcW w:w="1045" w:type="dxa"/>
            <w:vAlign w:val="center"/>
          </w:tcPr>
          <w:p w14:paraId="385A483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24</w:t>
            </w:r>
          </w:p>
        </w:tc>
        <w:tc>
          <w:tcPr>
            <w:tcW w:w="1060" w:type="dxa"/>
            <w:vAlign w:val="center"/>
          </w:tcPr>
          <w:p w14:paraId="45C1B3E1">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1286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57A140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w:t>
            </w:r>
          </w:p>
        </w:tc>
        <w:tc>
          <w:tcPr>
            <w:tcW w:w="907" w:type="dxa"/>
            <w:vAlign w:val="center"/>
          </w:tcPr>
          <w:p w14:paraId="4D80CDE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移动照明灯</w:t>
            </w:r>
          </w:p>
        </w:tc>
        <w:tc>
          <w:tcPr>
            <w:tcW w:w="5078" w:type="dxa"/>
            <w:vAlign w:val="center"/>
          </w:tcPr>
          <w:p w14:paraId="53BDF963">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1、额定电压≦DC22.2V、防护等级≧IP66、光源种类及功率：LED灯 100W（防爆合格证内体现）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2、续航时间：工作光模式≧15h中光模式≧10h 强光模式≧5h（CNAS检验报告中体现）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3、光通量：工作光模式≧5300（lm）中光模式≧7000（lm）强光模式≧11000（lm）；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4、单向照明10m处中心点照度值：工作光模式≧300lx；中光模式≧450lx；强光模式≧700lx。（CNAS检验报告中体现）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5、灯具亦可通过手机APP与灯具蓝牙连接实现灯具开关/调光，警示灯亮灭、无级调光、查看灯具剩余电量等操控动作，空旷环境下蓝控制距离≥100m（CNAS检验报告中体现）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6、轻按灯具控制板组件“警示”按键可以依次分别开启3种警示灯闪烁状态：双箭头、右箭头、左箭头、警示关闭。（CNAS检验报告中体现）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灯具具有水平仪在调整支撑腿时可作为参考，升至最高状态三角支架可满足6级风力不出现倾倒，可在城市道路及高速路斜坡使用，灯具支撑腿或升降杆可进行调节，满足在非水平面正常使用需求（参考公路及道路建设规范坡度小于10°）（CNAS检验报告中体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8、绝缘电阻：照明装置外部带电端子与机壳之间以及电源接线端子与地之间的绝缘电阻应不小于150MΩ。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9、照明装置工作噪声不大于90dB</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10、重量≤8Kg、收起长度≤0.9m；升起高度 ≥2.2m、充电时间：≤6h，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11、产品防爆设计 防爆标志：Ex eb ib mb IIC T6 Gb。（提供防爆合格证）</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12、符合GB 26755-2011检测依据，出具带有CNAS标识的检测报告，出具国家级检测机构出具的防爆合格证。</w:t>
            </w:r>
          </w:p>
        </w:tc>
        <w:tc>
          <w:tcPr>
            <w:tcW w:w="1045" w:type="dxa"/>
            <w:vAlign w:val="center"/>
          </w:tcPr>
          <w:p w14:paraId="683E45B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48F01452">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C834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0601B9C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w:t>
            </w:r>
          </w:p>
        </w:tc>
        <w:tc>
          <w:tcPr>
            <w:tcW w:w="907" w:type="dxa"/>
            <w:vAlign w:val="center"/>
          </w:tcPr>
          <w:p w14:paraId="2EDB7EF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医药急救箱</w:t>
            </w:r>
          </w:p>
        </w:tc>
        <w:tc>
          <w:tcPr>
            <w:tcW w:w="5078" w:type="dxa"/>
            <w:vAlign w:val="center"/>
          </w:tcPr>
          <w:p w14:paraId="18FAB7CC">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1、主要应用场景：适用于盛放常规外伤和化学伤害急救所需的敷料、药品和器械等。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3、材质：铝板或铝合金；</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▲4、长度≤320mm；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▲5、重量≤3.5kg；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主要配置：弹性绷带、消毒纱布片、医用胶带、医用手套、三角绷带、不锈钢剪刀、安全别针、创口贴、急救毯、酒精片、棉球、塑料镊子、急救呼吸器、吸血垫、烧伤敷料、止血带、冷敷袋、热敷袋、体温计、碘伏片、高分子急救夹板、一次性口罩、紧急联系卡、眼垫、急救手册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p>
        </w:tc>
        <w:tc>
          <w:tcPr>
            <w:tcW w:w="1045" w:type="dxa"/>
            <w:vAlign w:val="center"/>
          </w:tcPr>
          <w:p w14:paraId="1BD4128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5CCA4E6B">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79E7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640AB4B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907" w:type="dxa"/>
            <w:vAlign w:val="center"/>
          </w:tcPr>
          <w:p w14:paraId="71FEEE7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移车器</w:t>
            </w:r>
          </w:p>
        </w:tc>
        <w:tc>
          <w:tcPr>
            <w:tcW w:w="5078" w:type="dxa"/>
            <w:vAlign w:val="center"/>
          </w:tcPr>
          <w:p w14:paraId="198FF19A">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★1、结构组成：万向脚轮，支撑臂，套接横梁，铝合金滚筒，内置液压油泵，挂钩，踏板，安全销等。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2、主要应用场景：使用移车器，可及时疏通道路，为在消防抢险时及时清除乱停乱放、阻碍交通的车辆。"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★未找到标准，提供国家级检测报告"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3、重量：≤20kg/个</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▲4、单个承重1000公斤（四个最大承重4000公斤），支起车轮离地间隙≥30毫米。</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5、适用车型：大中型轿车、中型越野车以下车型（适用直径70cm以下车轮）。"</w:t>
            </w:r>
          </w:p>
        </w:tc>
        <w:tc>
          <w:tcPr>
            <w:tcW w:w="1045" w:type="dxa"/>
            <w:vAlign w:val="center"/>
          </w:tcPr>
          <w:p w14:paraId="4A83A28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w:t>
            </w:r>
          </w:p>
        </w:tc>
        <w:tc>
          <w:tcPr>
            <w:tcW w:w="1060" w:type="dxa"/>
            <w:vAlign w:val="center"/>
          </w:tcPr>
          <w:p w14:paraId="5D2246CA">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1D0D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7892CD9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w:t>
            </w:r>
          </w:p>
        </w:tc>
        <w:tc>
          <w:tcPr>
            <w:tcW w:w="907" w:type="dxa"/>
            <w:vAlign w:val="center"/>
          </w:tcPr>
          <w:p w14:paraId="52F855F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救生照明线</w:t>
            </w:r>
          </w:p>
        </w:tc>
        <w:tc>
          <w:tcPr>
            <w:tcW w:w="5078" w:type="dxa"/>
            <w:vAlign w:val="center"/>
          </w:tcPr>
          <w:p w14:paraId="1762796A">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1、结构组成：供电源、发光线、绕线盘</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2、在可视度低的环境场所，用于指引逃生路线。"</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★3、产品符合国家 GB 26783-2011《消防救生照明线》标准要求。并提供国家级检验机构出具的检验报告。"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▲4、发光亮度：≥15cd/m2；</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5、闪烁频率：1Hz-2Hz；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6、质量：≤5Kg；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7、绝缘电阻：≥50MΩ；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▲8、常亮工作时间：≥8h；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▲9、闪亮工作时间：≥16h；</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10、表面最高温度：≤60℃；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11、单条线体拉力：≥500N；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12、系统供电电压：DC12V；</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▲13、线体长 ≥100 米，线体具有 360°全方位防水设计，支持消防水枪冲击和长时间泡水测试。</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14、电源和绕线盘一体化结构设计，无需额外电源箱供电。</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15、连续工作时间内，照明线的发光亮度≥15cd/m2；工作模式至少具有常亮和频闪两种功能，闪烁频率 1Hz-2Hz。</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16、照明线具有导向功能，线体每间隔（2±0.1）m 有一个清晰可见的方向标注。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17、防水防尘等级≥IP66。线体具有 360°全方位防水设计，支持消防水枪冲击和长时间泡水测试。</w:t>
            </w:r>
          </w:p>
        </w:tc>
        <w:tc>
          <w:tcPr>
            <w:tcW w:w="1045" w:type="dxa"/>
            <w:vAlign w:val="center"/>
          </w:tcPr>
          <w:p w14:paraId="4A0383C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w:t>
            </w:r>
          </w:p>
        </w:tc>
        <w:tc>
          <w:tcPr>
            <w:tcW w:w="1060" w:type="dxa"/>
            <w:vAlign w:val="center"/>
          </w:tcPr>
          <w:p w14:paraId="0A5BCEB3">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3E14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0028901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907" w:type="dxa"/>
            <w:vAlign w:val="center"/>
          </w:tcPr>
          <w:p w14:paraId="050806B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救生缓降器</w:t>
            </w:r>
          </w:p>
        </w:tc>
        <w:tc>
          <w:tcPr>
            <w:tcW w:w="5078" w:type="dxa"/>
            <w:vAlign w:val="center"/>
          </w:tcPr>
          <w:p w14:paraId="30C6E1F5">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1、结构组成：缓降器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2、主要应用场景：适用于居民楼、办公楼、油田、矿山火灾逃生，也可用于高空作业消防训练、紧急避险与救援等行业"</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"二、标准规范及检验报告：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★3、符合国家标准GB 21976.2-2012《建筑火灾逃生避难器材 第2部分:逃生缓降器》的要求。提供国家级检验机构出具的检测报告"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▲4、最大使用高度≥95m，最低使用重量≤10kg；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▲5、最大使用重量≥100kg；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▲6、下降速度0.8-1m/s；</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7、钢丝绳断破拉力＞1.6吨；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8、安全带断破拉力＞2吨；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9、重量≤1800g；</w:t>
            </w:r>
          </w:p>
        </w:tc>
        <w:tc>
          <w:tcPr>
            <w:tcW w:w="1045" w:type="dxa"/>
            <w:vAlign w:val="center"/>
          </w:tcPr>
          <w:p w14:paraId="18EC3E3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16</w:t>
            </w:r>
          </w:p>
        </w:tc>
        <w:tc>
          <w:tcPr>
            <w:tcW w:w="1060" w:type="dxa"/>
            <w:vAlign w:val="center"/>
          </w:tcPr>
          <w:p w14:paraId="6EF133BC">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10C2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129A41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7</w:t>
            </w:r>
          </w:p>
        </w:tc>
        <w:tc>
          <w:tcPr>
            <w:tcW w:w="907" w:type="dxa"/>
            <w:vAlign w:val="center"/>
          </w:tcPr>
          <w:p w14:paraId="62D5556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救援支架</w:t>
            </w:r>
          </w:p>
        </w:tc>
        <w:tc>
          <w:tcPr>
            <w:tcW w:w="5078" w:type="dxa"/>
            <w:shd w:val="clear" w:color="auto" w:fill="auto"/>
            <w:vAlign w:val="center"/>
          </w:tcPr>
          <w:p w14:paraId="4C0F3D4D">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auto"/>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1、结构组成：由高强度铝合金制成，配备钢索牵引绞盘。</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2、主要应用场景：用于井下、地窖等狭小空间救援。"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二、标准规范及检验报告：提供国家级检验机构出具的检验报告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1.外观质量：外观表面光滑平整，无明显划伤、变形缺陷，金属部件无机械损伤、裂纹和毛刺，钢丝绳无断裂、绞股，有外螺纹的部位已采取防护措施；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2.结构：救援三角架各条支腿完全展开后，各支撑脚之间的最大长度≤5mm。救援三角架的钢丝绳在按额定提升高度展开后，绞盘上的余绳涂有红色警示，且余绳长度≥1m；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3.存放状态最大部件长度：≤1000mm；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▲4.三角架最大工作状态高度：≥2600mm；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▲5.携行总质量：≤66kg；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▲6.钢丝绳直径：±5mm；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▲7.额定负载质量：≥200kg；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▲8.额定提升高度：±30m；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9.操作性能：救援三脚架的绞盘转动灵活、无卡阻现象，绞盘手柄的手摇力为不小于210N(起吊200kg的额定负载质量时)。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10.安全性能：救援三脚架具备自锁功能，按规定的方法进行试验，钢丝绳能保持静止不运动。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11.强度性能：救援三脚架经强度试验后，各部件无任何损坏，在额定负载质量下能正常工作。</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▲12.救援三脚架所用钢丝绳的破断强度为不小于14.90kN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 13.可靠性 救援三脚架经可靠试验后，各部件无任何损坏。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该救援三脚架配备了一个手动绞盘，能安装在任何一条支撑脚上"</w:t>
            </w:r>
          </w:p>
        </w:tc>
        <w:tc>
          <w:tcPr>
            <w:tcW w:w="1045" w:type="dxa"/>
            <w:vAlign w:val="center"/>
          </w:tcPr>
          <w:p w14:paraId="5266640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5792AEA0">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3E5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7" w:type="dxa"/>
            <w:vAlign w:val="center"/>
          </w:tcPr>
          <w:p w14:paraId="79B7825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w:t>
            </w:r>
          </w:p>
        </w:tc>
        <w:tc>
          <w:tcPr>
            <w:tcW w:w="907" w:type="dxa"/>
            <w:vAlign w:val="center"/>
          </w:tcPr>
          <w:p w14:paraId="75CFC5A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测温仪</w:t>
            </w:r>
          </w:p>
        </w:tc>
        <w:tc>
          <w:tcPr>
            <w:tcW w:w="5078" w:type="dxa"/>
            <w:vAlign w:val="center"/>
          </w:tcPr>
          <w:p w14:paraId="40855F5F">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1、结构组成：芯片加外壳。</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2、主要应用场景：用于消防员灭火救援作业中环境温度的测量。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4.温度校准点0.0     固有误差-0.1      最大允许误差+-0.5       </w:t>
            </w:r>
          </w:p>
          <w:p w14:paraId="5E316D44">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 xml:space="preserve">扩展不确定度U（K=2）1.0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5.温度校准点100.0   固有误差0.8       最大允许误差+-1.5       扩展不确定度U（K=2）1.0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6.温度校准点200.0   固有误差0.5       最大允许误差+-3.0       扩展不确定度U（K=2）1.5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7.温度校准点300.0   固有误差3.2       最大允许误差+-4.5       扩展不确定度U（K=2）1.5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8.温度校准点600.0   固有误差4.3       最大允许误差+-9.0       扩展不确定度U（K=2）2.5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★9.精确度：±1.5%/±1.5℃；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▲10.温度范围：-50℃～1100℃；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▲11.重复性：±1%/±1℃；</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▲12.物距比：12:1；</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13.发射率：0.10-1.00可调；</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▲14.分辨率：0.1℃/℉；</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▲15.响应时间：≤500毫秒；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16.响应波长：8-14μm；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17.产品净重：≤210克。"</w:t>
            </w:r>
          </w:p>
        </w:tc>
        <w:tc>
          <w:tcPr>
            <w:tcW w:w="1045" w:type="dxa"/>
            <w:vAlign w:val="center"/>
          </w:tcPr>
          <w:p w14:paraId="5A4E2F1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4CB018C6">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75D23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01296AB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9</w:t>
            </w:r>
          </w:p>
        </w:tc>
        <w:tc>
          <w:tcPr>
            <w:tcW w:w="907" w:type="dxa"/>
            <w:vAlign w:val="center"/>
          </w:tcPr>
          <w:p w14:paraId="20CAB01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各类警示牌</w:t>
            </w:r>
          </w:p>
        </w:tc>
        <w:tc>
          <w:tcPr>
            <w:tcW w:w="5078" w:type="dxa"/>
            <w:vAlign w:val="center"/>
          </w:tcPr>
          <w:p w14:paraId="27A6432D">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1、灾害事故现场警戒警示。</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2、金属材料制作，规格分三角形状，边长≥400mm，表面红、黄反光漆；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3、分为有毒、易燃、泄漏、爆炸、危险等五种标志。</w:t>
            </w:r>
          </w:p>
        </w:tc>
        <w:tc>
          <w:tcPr>
            <w:tcW w:w="1045" w:type="dxa"/>
            <w:vAlign w:val="center"/>
          </w:tcPr>
          <w:p w14:paraId="2FF03EF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16394B1B">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2E66E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5F012ED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10</w:t>
            </w:r>
          </w:p>
        </w:tc>
        <w:tc>
          <w:tcPr>
            <w:tcW w:w="907" w:type="dxa"/>
            <w:vAlign w:val="center"/>
          </w:tcPr>
          <w:p w14:paraId="22B930C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隔离警示带</w:t>
            </w:r>
          </w:p>
        </w:tc>
        <w:tc>
          <w:tcPr>
            <w:tcW w:w="5078" w:type="dxa"/>
            <w:vAlign w:val="center"/>
          </w:tcPr>
          <w:p w14:paraId="14B4B2C2">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1、用于消防灭火救援、灾害事故现场警戒。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2、具有双面反光功能，材质抗拉伸。</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3、每盘宽度≥5cm，长度≥100米。</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4、带卷盘。</w:t>
            </w:r>
          </w:p>
        </w:tc>
        <w:tc>
          <w:tcPr>
            <w:tcW w:w="1045" w:type="dxa"/>
            <w:vAlign w:val="center"/>
          </w:tcPr>
          <w:p w14:paraId="28629C1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20</w:t>
            </w:r>
          </w:p>
        </w:tc>
        <w:tc>
          <w:tcPr>
            <w:tcW w:w="1060" w:type="dxa"/>
            <w:vAlign w:val="center"/>
          </w:tcPr>
          <w:p w14:paraId="331C21D6">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32CC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8837" w:type="dxa"/>
            <w:gridSpan w:val="5"/>
            <w:shd w:val="clear" w:color="auto" w:fill="E7E6E6" w:themeFill="background2"/>
            <w:vAlign w:val="center"/>
          </w:tcPr>
          <w:p w14:paraId="104388F6">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8"/>
                <w:szCs w:val="18"/>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包五</w:t>
            </w:r>
          </w:p>
        </w:tc>
      </w:tr>
      <w:tr w14:paraId="62990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D7BF7E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907" w:type="dxa"/>
            <w:vAlign w:val="center"/>
          </w:tcPr>
          <w:p w14:paraId="403D53E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移动供气源</w:t>
            </w:r>
          </w:p>
        </w:tc>
        <w:tc>
          <w:tcPr>
            <w:tcW w:w="5078" w:type="dxa"/>
            <w:vAlign w:val="center"/>
          </w:tcPr>
          <w:p w14:paraId="40E52290">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整套装置由车架总成、气瓶单元、供气管、Y型三通接头、长管呼吸器、应急供气装置六个独立的产品，通过自行有机组合，实现可供呼吸保护的外供气式装备，它是以气瓶的压缩空气为气源，通过车架总成上的集气减压装置，经供气管提供到呼吸器的面罩中，供作业人员呼吸，起到有效保护作业者的呼吸系统。</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2、主要应用场景：移动式供气装置属于高压送风式长管呼吸器,是一种便捷的外供气式呼吸保护装备</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▲4、出具的检测检验报告应包含检测标准依据：GB6220-2009《呼吸防护长管呼吸器》。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5、与头部接触的材料无害金属件表面有防腐蚀处理，材料有足够的强度和弹性。长管气密能抵抗外界液体的渗透。                                                                                                                                                                                           ▲6、部件无结构性破损，对使用者无任何危险，头带可调并能将面罩牢固的固定在脸上，佩戴时无压迫或压痛现象。面罩视野开阔视物真实无畸变镜片不结雾，不限制使用者的头部活动。长管长度＜80m，每根长管最多可为两个面罩供气。长管不妨碍佩戴者的活动。 每根长管最多可为≦2个面罩供气。压力范围不同的连接件不可互换。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总体性能，面罩的设计不会引起佩戴者的不适。长管不妨碍佩戴者的活动，不妨碍安全帽的佩戴，固定带能将导气管或中压管固定在佩戴者身后后侧面而不影响操作，宽度≧40mm。呼吸器上佩戴者的部件触手可及，并可通过触摸加以识别。所有可调节的部件在使用中不出现意外变动。长管抗拉强度≧1000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▲8、密合性面罩泄漏率≦0.06%。</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9、面罩内吸气阻力≧ 140Pa，呼气阻力≦610Pa。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10、面罩腔体内的静态压力≦210Pa。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11、呼气阀气密性，有呼气阀盖，呼吸阀有良好动作性。当呼气阀减压至-1180Pa时 ，面罩呼气阀与45s内负压值下降 ≦520Pa，环境温度17℃-30℃，相对湿度≦75%。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▲12、高低温适应性，无僵硬，破裂，零件脱落发粘等现象，密合性面罩泄漏率高温低温下≦0.05%，面罩内吸气阻力高温 &gt;175 Pa，低温 &gt;185 Pa ，面罩内呼气阻力高低温时均&lt;610 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13、固定带能承受≧1000N拉力无破坏。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14、面罩死腔≦1%。</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▲15、面罩面屏总视野≧75%，双目视野 ≧55%，下方视野≧30度。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16、面罩观察镜片透光率 ≧88%，经冲击试验后，镜片无破碎。</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17、头带强度，全面罩头带能够经受≧145N的拉力持续时间10s，不发生破裂。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18、连接强度，所有连接点在承受≧240N，持续10s轴向拉力不出现滑脱，断裂或塑性变形。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19、中压管部件性能要求，连接到供气阀的管线在工作压力为1.3MPa,能承受3MPa压力15min。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20、高压管接头有2处。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21、抗微粒性能，供给压缩空气的部件，有过滤部件能过滤压缩空气中的微粒。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22、气密性，低压气密性：不带全面罩的呼吸器在≧740Pa的正压和负压下进行气密试验。压力变化在1min内，正压为15Pa，负压为20Pa，符合标准。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23、高压部件耐压性能，承受高压的金属部件至少承受1.5倍气瓶压力，承受高压的非金属部件至少承受2倍气瓶的工作压力。</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24、气瓶为复合气瓶符合DOT-CFFC的规定。</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25、输气的可靠性，导气管，长管不出现限制，阻塞气流的情况，气体流量的降低不超过制定测10%，测试结束10min后，无扭曲现象。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26、气瓶阀 ，设计安全，能防止微粒堵塞和传动。不能将气瓶阀完全从阀体上旋下，开启方向为逆时针。开启后不会被无意关闭。设置有爆破膜片，其爆破压力为气瓶额定工作压力的（1.2-1.5）倍。气瓶阀的输出端为内螺纹，尺寸为G5/8，公差符合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27、设置有减压器 ，有密封措施，有泄压阀，在输入不超过3MPa压力下，减压器泄压阀能通过400L/min的气流，减压器泄压阀启动后，吸气阻力和呼气阻力不大于2.5KPa。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▲28、压力表，设计方便读取， 高压表提供高压管路的空气压力，MPa/Bar双刻度设计，高压表的量程是0-40MPa，精度是1.6级。中压表提供中压管路中的空气压力，Mpa/Bar双刻度设计，中压表的量程是0-1.6MPa ，精度是1.6级。长管呼吸器上拆除压力表和连接管后，在20 MPa的压力下泄漏气流量不大于15L/min。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29、报警器功能和压力表所提供的信息互补。设置报警器，可报警，在打开气瓶阀时自动启动。气瓶压力下降至5.5MPa时，报警哨报警。连续声响报警，报警时间&gt;30s，声强&gt;100dB（A),声响频率4000Hz，能连续报警至1 MPa。报警器启动后，佩戴者能继续正常使用长管呼吸器。气动报警器从启动至气瓶压力降至1MPa为止，警报器的平均耗气量不大于2L/min。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▲30、标识，具有永久标识：产品名称，型号，制造商名称，生产日期，中文说明书。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车架总成可以同时安装四只9L气瓶，并可以随时更换其中任何一只气瓶而不影响持续供气。量值参数：车架由表面进行防腐处理的钢管折弯焊接而成。车架底盘安装有四个转动轮，其中两个前轮为为大直径车轮，两个后轮为导向轮并带有刹车机构，可以在供气装置需要停放时保持稳定，特别在有一定坡度的地面不会移动。车架上共有4根高压管组件，分别连接到集气块和气瓶上，4根高压管组件独立供气，工作压力30MPa,自带有泄压旋钮，方便释放管路中的高压气体，与气瓶快速脱开。</w:t>
            </w:r>
          </w:p>
        </w:tc>
        <w:tc>
          <w:tcPr>
            <w:tcW w:w="1045" w:type="dxa"/>
            <w:vAlign w:val="center"/>
          </w:tcPr>
          <w:p w14:paraId="4FF3EFE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0EDF6C8C">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A959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34BD2D2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w:t>
            </w:r>
          </w:p>
        </w:tc>
        <w:tc>
          <w:tcPr>
            <w:tcW w:w="907" w:type="dxa"/>
            <w:vAlign w:val="center"/>
          </w:tcPr>
          <w:p w14:paraId="5679798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液压破拆工具组</w:t>
            </w:r>
          </w:p>
        </w:tc>
        <w:tc>
          <w:tcPr>
            <w:tcW w:w="5078" w:type="dxa"/>
            <w:vAlign w:val="center"/>
          </w:tcPr>
          <w:p w14:paraId="2684250A">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▲1、结构组成：整套包含：液压机动泵、手动液压泵、液压扩张器、液压剪切器、液压剪扩器、液压撑顶器、液压软管10米2根</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2、主要应用场景：适用于大型抢险救援破拆救援工作，如地震、建筑垮塌、复杂交通事故等</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▲3、应提供国家级或国家认可的第三方检测检验机构出具的检测检验报告，且报告应完整有效。</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▲4、出具的检测检验报告应包含检测标准依据：GB/T 17906-2021《消防应急救援装备液压破拆工具通用技术条件》。</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5、外观要求：设备外表面应涂防锈漆，漆层应均匀，无龟裂现象；铸造件表面应光滑，无砂眼、气孔等缺陷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6、液压机动泵</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（1）质量：≤23kg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▲（2）额定工作压力：≥72MPa，额定流量：≥0.5L/min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（3）低压工作压力：≥5MPa，低压流量：≥2.9L/min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7、手动液压泵</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（1）液压油缸有效容量：≥1800毫升</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▲（2）额定工作压力≥72MPa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（3）质量：≤8kg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8、液压扩张器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（1）质量：≤15kg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▲（2）扩张力（测力点距扩张臂顶端垂直距离为25mm）：最小扩张力≥40KN，最大扩张力≥90KN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（3）扩张距离：≥720mm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9、液压剪切器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（1）质量：≤9.5kg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（2）开口距离：≥170mm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▲（3）剪切能力：直径≥31mm的Q235A圆钢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（4）宜采用倾斜型刀头设计，为操作者从侧面剪切时创造更多的空间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10、液压多功能钳</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（1）质量：≤14.5kg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（2）扩张力：最小扩张力≥30KN，最大扩张力≥40KN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（3）剪切能力：圆钢≥∅19mm，板材≥2mm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11、液压撑顶器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（1）质量：≤11kg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▲（2）撑顶力：≥150KN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（3）撑顶长度：≥760mm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（4）原始长度：≤515mm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（5）撑顶行程：≥250mm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12、液压软管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（1）最大工作压力：≥72MPa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（2）液压管长度10米</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（3）重量≤5公斤</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13、液压软管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（1）密封性：在额定工作压力下，液压软管及接头无漏油情况</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（2）泄压功能：具备泄压附件，可实现泄压功能</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（3）带压操作：可在额定工作压力下插拔液压软管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（4）软管接头：采用平面密封接头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（5）额定工作压力：≥350巴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（6）整体质量：5.6±0.2kg</w:t>
            </w:r>
          </w:p>
        </w:tc>
        <w:tc>
          <w:tcPr>
            <w:tcW w:w="1045" w:type="dxa"/>
            <w:vAlign w:val="center"/>
          </w:tcPr>
          <w:p w14:paraId="056ADAC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1060" w:type="dxa"/>
            <w:vAlign w:val="center"/>
          </w:tcPr>
          <w:p w14:paraId="1F5EBB9D">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606F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196AEE9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w:t>
            </w:r>
          </w:p>
        </w:tc>
        <w:tc>
          <w:tcPr>
            <w:tcW w:w="907" w:type="dxa"/>
            <w:vAlign w:val="center"/>
          </w:tcPr>
          <w:p w14:paraId="66F64AD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液压开门器</w:t>
            </w:r>
          </w:p>
        </w:tc>
        <w:tc>
          <w:tcPr>
            <w:tcW w:w="5078" w:type="dxa"/>
            <w:vAlign w:val="center"/>
          </w:tcPr>
          <w:p w14:paraId="01724103">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1、结构组成：由液压泵（配有液压油管1条）、开门器、微型扩张器、微型剪切器、撬棍等组成。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2、主要应用场景：用于灾害事故现场消防员破拆使用。"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3、★符合GB 28735-2012《消防用开门器》的标准要求，并提供国家级检验机构出具的检验报告。"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"三、检验报告内参数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2、液压泵：</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2.1、额定输出压力≥70MPa；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2.2、额定输出量≥0.8ml/次；低压输出压力:5-10MPa；低压流量:≥7ml/次；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▲2.3、手柄力:≤300N；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▲2.4、质量:≤4kg。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3、开门器：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▲3.1、最小插入高度≤6mm；闭合长度:210mm；开启距离≥180mm；分离距离≥220mm；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▲3.2、撑用于顶距离≥260mm，分离力≥55kN，撑顶力≥55kN；</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▲4、微型扩张器：扩张力≥40kN，最大分离距离≥150mm；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▲5、微型剪切器：最大剪切力≥120kN，最大剪切（Q235）圆钢直径：20mm；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6、组合撬棍：长度≥450mm；重量≤4kg。"</w:t>
            </w:r>
          </w:p>
        </w:tc>
        <w:tc>
          <w:tcPr>
            <w:tcW w:w="1045" w:type="dxa"/>
            <w:vAlign w:val="center"/>
          </w:tcPr>
          <w:p w14:paraId="48EE5ED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125E5F48">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526C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837" w:type="dxa"/>
            <w:gridSpan w:val="5"/>
            <w:shd w:val="clear" w:color="auto" w:fill="E7E6E6" w:themeFill="background2"/>
            <w:vAlign w:val="center"/>
          </w:tcPr>
          <w:p w14:paraId="165D8AB4">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21"/>
                <w:szCs w:val="21"/>
                <w:highlight w:val="none"/>
                <w:vertAlign w:val="baseline"/>
                <w:lang w:val="en-US" w:eastAsia="zh-CN"/>
              </w:rPr>
              <w:t>包六</w:t>
            </w:r>
          </w:p>
        </w:tc>
      </w:tr>
      <w:tr w14:paraId="1BC04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604E583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907" w:type="dxa"/>
            <w:vAlign w:val="center"/>
          </w:tcPr>
          <w:p w14:paraId="763E87D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65mm水带</w:t>
            </w:r>
          </w:p>
        </w:tc>
        <w:tc>
          <w:tcPr>
            <w:tcW w:w="5078" w:type="dxa"/>
            <w:vAlign w:val="center"/>
          </w:tcPr>
          <w:p w14:paraId="13BCC92F">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1、织物层原材料采用涤纶长丝，内衬聚氨酯材料，表面光滑、平整、编织均匀，耐高压、耐磨损、不渗水、不霉变、易卷缠，轻便柔软、使用寿命长。</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★2、符合CCCF-CPRZ-25:2019《消防类产品认证实施规则》和GB6246-2011《有衬里消防水带性能要求和试验方法》并提供国家级检验机构出具的检验报告。"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▲3、工作压力：≥1.6Mpa，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▲4、爆破压力：≥5Mpa，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▲5、直径：≥65mm，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6、水带编织层与衬里间的附着强度≥30N/25mm，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7、水带长度≥20m。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▲8、轴向延伸率≤5%，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▲9、直径膨胀率≤5%。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9、重量≤350g/m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10、配快速接口。</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无"</w:t>
            </w:r>
          </w:p>
        </w:tc>
        <w:tc>
          <w:tcPr>
            <w:tcW w:w="1045" w:type="dxa"/>
            <w:vAlign w:val="center"/>
          </w:tcPr>
          <w:p w14:paraId="23D40C8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120</w:t>
            </w:r>
          </w:p>
        </w:tc>
        <w:tc>
          <w:tcPr>
            <w:tcW w:w="1060" w:type="dxa"/>
            <w:vAlign w:val="center"/>
          </w:tcPr>
          <w:p w14:paraId="3BB3B060">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260E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054A01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w:t>
            </w:r>
          </w:p>
        </w:tc>
        <w:tc>
          <w:tcPr>
            <w:tcW w:w="907" w:type="dxa"/>
            <w:vAlign w:val="center"/>
          </w:tcPr>
          <w:p w14:paraId="78A3F50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80mm水带</w:t>
            </w:r>
          </w:p>
        </w:tc>
        <w:tc>
          <w:tcPr>
            <w:tcW w:w="5078" w:type="dxa"/>
            <w:vAlign w:val="center"/>
          </w:tcPr>
          <w:p w14:paraId="42A7BBB3">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1、织物层原材料采用涤纶长丝，内衬聚氨酯材料，表面光滑、平整、编织均匀，耐高压、耐磨损、不渗水、不霉变、易卷缠，轻便柔软、使用寿命长。</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★2、符合CCCF-CPRZ-25:2019《消防类产品认证实施规则》和GB6246-2011《有衬里消防水带性能要求和试验方法》并提供国家级检验机构出具的检验报告。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▲3、工作压力≥1.6Mpa，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4、爆破压力≥5Mpa，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5、直径：≥80mm，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6、水带编织层与衬里之间的附着强</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度≥30N/25mm，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7、轴向延伸率≤5%，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8、直径膨胀率≤5%。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9、重量≤400g/m。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10、配快速接口。</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11、水带长度≥20m。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无"</w:t>
            </w:r>
          </w:p>
        </w:tc>
        <w:tc>
          <w:tcPr>
            <w:tcW w:w="1045" w:type="dxa"/>
            <w:vAlign w:val="center"/>
          </w:tcPr>
          <w:p w14:paraId="525749F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80</w:t>
            </w:r>
          </w:p>
        </w:tc>
        <w:tc>
          <w:tcPr>
            <w:tcW w:w="1060" w:type="dxa"/>
            <w:vAlign w:val="center"/>
          </w:tcPr>
          <w:p w14:paraId="69A441B1">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5832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3FAAF8B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w:t>
            </w:r>
          </w:p>
        </w:tc>
        <w:tc>
          <w:tcPr>
            <w:tcW w:w="907" w:type="dxa"/>
            <w:vAlign w:val="center"/>
          </w:tcPr>
          <w:p w14:paraId="0EC7F5C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水幕水带</w:t>
            </w:r>
          </w:p>
        </w:tc>
        <w:tc>
          <w:tcPr>
            <w:tcW w:w="5078" w:type="dxa"/>
            <w:vAlign w:val="center"/>
          </w:tcPr>
          <w:p w14:paraId="33B2E283">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1、结构组成：水带，快速接口</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2、主要应用场景：用于消防救援。"</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 GB6246-2011《消防水带》标准要求并提供国家级消防装备检验机构出具的检验报告。"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4、▲标识：水带应以非黑色的有色线作带身中心线，在端部附近中心线两侧应用不易脱落的油墨，清晰地印有：产品名称、规格型号、生产厂名、注册商标和生产日期。</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5、内径：65mm±2。</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6、长度：20m±0.2。</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7、重量≤350g/m。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8、▲工作压力：≥1.6Mpa。</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10、轴向延伸率≤5%。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11、直径膨胀率≤5%。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12、水带编织层与衬里间的附着强度≥30N/25mm。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13、水带与消防接口连接性能：水带与消防接口连接处不应发生渗漏、爆破或滑脱。</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14、在一定压力下能喷射形成水雾状屏障，能有效起到防火分隔、降低辐射热、稀释有毒气体浓度等的作用。喷雾孔铆钉光滑，无毛刺锈蚀，两喷雾孔间距约 35cm±2。</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15、配快速接口。"</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16、长度20M±0.1M</w:t>
            </w:r>
          </w:p>
        </w:tc>
        <w:tc>
          <w:tcPr>
            <w:tcW w:w="1045" w:type="dxa"/>
            <w:vAlign w:val="center"/>
          </w:tcPr>
          <w:p w14:paraId="6C7C6C5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20</w:t>
            </w:r>
          </w:p>
        </w:tc>
        <w:tc>
          <w:tcPr>
            <w:tcW w:w="1060" w:type="dxa"/>
            <w:vAlign w:val="center"/>
          </w:tcPr>
          <w:p w14:paraId="557227E9">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68F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017BE91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907" w:type="dxa"/>
            <w:vAlign w:val="center"/>
          </w:tcPr>
          <w:p w14:paraId="7BF3A04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异型异径接口</w:t>
            </w:r>
          </w:p>
        </w:tc>
        <w:tc>
          <w:tcPr>
            <w:tcW w:w="5078" w:type="dxa"/>
            <w:vAlign w:val="center"/>
          </w:tcPr>
          <w:p w14:paraId="63056C05">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1、主要应用场景：用于火灾现场不同型式、直径接口之间的转换连接；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★2、符合国标 GB12514《消防接口》标准。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▲3、国家权威机构出具的检验报告。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▲4、使用公称压力≥2.5MPa；强度测试压力≥4MPa；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5、外观：无缺陷与不良；表面光亮、无毛刺、无伤痕；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"6、型号：65 内扣转 65 雌，65 内扣转 65 雄，65 内扣转 80 雌，65内扣转 80 雄，80 内扣转 65 雌，80 内扣转 65 雄，80 内扣转 80雌，80 内扣转 80 雄，65 雌转 65雌，80 雌转 65 雌，80 雌转 80雌，80 雌转 65 雄，65 雌转 80雄，65 雄转 65 雄，80 雄转 65雄，80 雄转 80 雄。</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★具体型号和个数可由需求单位任意选择配置"</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7、材质：铝镁合金；表面防腐处理工艺，金色阳极氧化。</w:t>
            </w:r>
          </w:p>
        </w:tc>
        <w:tc>
          <w:tcPr>
            <w:tcW w:w="1045" w:type="dxa"/>
            <w:vAlign w:val="center"/>
          </w:tcPr>
          <w:p w14:paraId="110B92B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6664CA0F">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1DC43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3988586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w:t>
            </w:r>
          </w:p>
        </w:tc>
        <w:tc>
          <w:tcPr>
            <w:tcW w:w="907" w:type="dxa"/>
            <w:vAlign w:val="center"/>
          </w:tcPr>
          <w:p w14:paraId="06D6D88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中压分水器</w:t>
            </w:r>
          </w:p>
        </w:tc>
        <w:tc>
          <w:tcPr>
            <w:tcW w:w="5078" w:type="dxa"/>
            <w:vAlign w:val="center"/>
          </w:tcPr>
          <w:p w14:paraId="5EDBA4E2">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1、结构组成：由接口、阀体、手柄、球体、把手、密封圈组成 2、主要应用：适用于适用于铺设消防水带用的分水器，作为开关使用，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▲★2、符合《分水器和集水器》 GA868-2010 标准。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▲3、国家权威机构出具的检验报告。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4、外观：铸件表面应无结疤、裂纹、砂眼。加工表面应无明显的伤痕。本体上应清晰铸出阀门的 “开”、“关”字样或标志；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5、密封性能：分水器的各连接部位及阀门不应有渗漏现象；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6、水压强度性能合格：不得出现影响使用的变形；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7、耐腐蚀性能：分水器应使用耐腐蚀材料制造或对材料进行防腐蚀处理，经耐腐蚀试验后，应无起层，剥落或肉眼可见的点蚀凹坑，并且阀门应能正常操作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8、阀门和通径：分水器出水口上应安装阀门，阀门公称通径不得小于分水器出水口的公称通径；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▲9、阀门开启力（N）≤90N；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10、接口性能：消防接口的公称压力应不低于分水器本体的公称压力，其接口性能应符合GB12514.1 的规定；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▲11、产品特性：（1）接口：采用锻造工艺，选用优于或等于铝镁合金 A6061 材质，表面金色阳极氧化防腐处理。 （2）阀体：采用压铸工艺，选用优于或等于 YL112 材质，表面红色喷塑防腐处理。（3）手柄：采用锻造工艺，选用优于或等于铝镁合金 A6061 材质，表面阳极氧化防腐处理。 （4）球体：选用铝合金材质，减压式 T 型通孔球体，表面黑色阳极氧化防腐处理。 （5）把手：蓝色 T 型浸塑把手。（ 6）密封圈：采用防脱结构设计，空排水时有效防止密封圈脱落。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▲12、重量：卡式三分水器≤ 4.5kg</w:t>
            </w:r>
          </w:p>
        </w:tc>
        <w:tc>
          <w:tcPr>
            <w:tcW w:w="1045" w:type="dxa"/>
            <w:vAlign w:val="center"/>
          </w:tcPr>
          <w:p w14:paraId="740A778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w:t>
            </w:r>
          </w:p>
        </w:tc>
        <w:tc>
          <w:tcPr>
            <w:tcW w:w="1060" w:type="dxa"/>
            <w:vAlign w:val="center"/>
          </w:tcPr>
          <w:p w14:paraId="1E348901">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75315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4FF4156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907" w:type="dxa"/>
            <w:vAlign w:val="center"/>
          </w:tcPr>
          <w:p w14:paraId="1C89C74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大流量消防炮</w:t>
            </w:r>
          </w:p>
        </w:tc>
        <w:tc>
          <w:tcPr>
            <w:tcW w:w="5078" w:type="dxa"/>
            <w:vAlign w:val="center"/>
          </w:tcPr>
          <w:p w14:paraId="1518F82E">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★1、结构组成：消防炮身组件，消防炮头组件，旋转雾化齿组件，国标水带接口。</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2、主要应用场景：适用于消防灭火救援、石油石化灭火等高强度工作。整体重量轻、体积小，射程远，便于携带、运输。"</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★3、符合GB19156-2019《消防炮》；CCCF-CPRZ-26:2019《消防类产品认证实施细则 灭火设备产品消防给水设备产品》标准要求并提供国家消防装备质量监督检验中心检验报告；"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★4、流量≥40升/秒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▲5、不断水流量调节≥3档，分别是（25-30-40）升/秒</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6、射程≥75米； 水平摆动角度≥ ±20°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消防炮采用轻质铝合金材质，通过硬质阳极氧化处理，轻便易携，防腐蚀，可以轻松应对多种不同的应用场合；采用多功能消防炮头，转动炮头即可实现消防炮射流形式的无极调节，射流形式为直流/开花/喷雾；消防炮开关球阀开闭可实现无极调节，炮体正面标识阀门开关位置，球阀采用特殊材质制成，具有一定的磨损自修复功能；炮身配有压力表，实时显示消防炮的工作压力，便于消防员根据现场情况进行判断；炮身上配有手持握柄，人体工程学滚花防滑设计，便于持拿不打滑；消防炮标配安全带，安全带配有收纳装置，需快速移动时，可作为背带使用；炮身进水口采用360°无限旋转接口，可以防止水带打结。</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8、360°旋转雾化齿，在喷雾模式时，该旋转齿不断切割水滴，可使水滴更接近细水雾的级别，增大水滴的表面积，增大吸热效率，提高灭火速度；</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9、翻转式折叠式撑脚≤180°，展开后自动固定，受外力也不会收回，采用碳化钨材料防滑钉，支撑稳固，在常压工作状态下，无需人员值守即可自行工作</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10、重量≤10kg</w:t>
            </w:r>
          </w:p>
        </w:tc>
        <w:tc>
          <w:tcPr>
            <w:tcW w:w="1045" w:type="dxa"/>
            <w:vAlign w:val="center"/>
          </w:tcPr>
          <w:p w14:paraId="326A38C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w:t>
            </w:r>
          </w:p>
        </w:tc>
        <w:tc>
          <w:tcPr>
            <w:tcW w:w="1060" w:type="dxa"/>
            <w:vAlign w:val="center"/>
          </w:tcPr>
          <w:p w14:paraId="1A163AF2">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1378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0F9AF87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7</w:t>
            </w:r>
          </w:p>
        </w:tc>
        <w:tc>
          <w:tcPr>
            <w:tcW w:w="907" w:type="dxa"/>
            <w:vAlign w:val="center"/>
          </w:tcPr>
          <w:p w14:paraId="64CB21D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竹制6米消防拉梯</w:t>
            </w:r>
          </w:p>
        </w:tc>
        <w:tc>
          <w:tcPr>
            <w:tcW w:w="5078" w:type="dxa"/>
            <w:vAlign w:val="center"/>
          </w:tcPr>
          <w:p w14:paraId="19BF62CA">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1、结构组成；优质坚韧毛竹经特殊工艺处理，多层压合而成，侧板与梯登采用铆钉连接</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2、主要应用场景：登高、跨越高墙，亦可作一般登高及民用。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▲3、符合XF  137-2007《消防梯》标准要求。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▲4、提供国家级权威机构检验报告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▲5、工作长度：6±0.1m；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6、收缩长度：3.8±0.1m；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7、收缩厚度：140±1mm；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8、收缩宽度：420±1mm；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▲9、最小梯宽：315±1mm；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10、梯蹬间距：280±1mm；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11、水平弯曲残余变形比值：≤0.11%；</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12、梯橙弯曲残余变形比值：≤0.16%；</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13、侧摇摆曲残余变形比值:≤0.15%；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▲14、侧板悬臂弯曲最大变形值（mm）；≤5。内弯曲：1.4外弯曲：1.6内弯曲：1.5外弯曲：1.4侧摇摆曲残余变形比值（%）；≤0.3▲</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15、质量：≤30kg；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外观检查：梯蹬与侧板应紧密吻合，不得松动、加楔。金属梯蹬应有防滑措施。金属零件和竹、木零件应紧密贴合，不应补塞。紧固件应垂直旋紧，不应有突出的钉头锋口和毛刺等缺陷。锹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大于等于12m的消防梯应装有支撑杆，支撑杆应妥善固定在基础梯节上。17、材料：消防梯所用竹、木材料应符合附录A的要求。竹粘合集成材料的粘合牢度按6.3的方法试验后，应无脱胶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18、梯蹬剪切强度：梯蹬与侧板的连接处和梯蹬本身不应有任何断裂迹象。</w:t>
            </w:r>
          </w:p>
        </w:tc>
        <w:tc>
          <w:tcPr>
            <w:tcW w:w="1045" w:type="dxa"/>
            <w:vAlign w:val="center"/>
          </w:tcPr>
          <w:p w14:paraId="51455C0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w:t>
            </w:r>
          </w:p>
        </w:tc>
        <w:tc>
          <w:tcPr>
            <w:tcW w:w="1060" w:type="dxa"/>
            <w:vAlign w:val="center"/>
          </w:tcPr>
          <w:p w14:paraId="14B4355D">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59382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7DA0A93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w:t>
            </w:r>
          </w:p>
        </w:tc>
        <w:tc>
          <w:tcPr>
            <w:tcW w:w="907" w:type="dxa"/>
            <w:vAlign w:val="center"/>
          </w:tcPr>
          <w:p w14:paraId="068B2A5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挂钩梯</w:t>
            </w:r>
          </w:p>
        </w:tc>
        <w:tc>
          <w:tcPr>
            <w:tcW w:w="5078" w:type="dxa"/>
            <w:vAlign w:val="center"/>
          </w:tcPr>
          <w:p w14:paraId="3961CBE9">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1、结构组成：侧板、梯蹬材质为生长期五年以上的竹料并经防腐、防蛀、干燥处理。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2、主要应用场景：高空灭火救援使用。"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★3、符合GA137-2007《消防梯》标准。</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▲4、提供国家级检验机构出具的检测报告。"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▲5、工作长度 4±0.1m。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▲6、最小梯宽 250±2mm。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▲7、梯蹬间距 340±2mm。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▲8、整梯质量≤11kg。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9、水平弯曲残余变形比值≤0.04%。</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10、梯蹬弯曲残余变形比值≤0.20%。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11、梯蹬剪切强度：梯蹬与侧板的连接处和梯蹬本身无任何断裂迹象。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12、钩强度试验后，不出现任何损伤、变形和裂纹。</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13、梯节扭转角为：α顺：≤13°、α逆：≤13°。</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 侧 摇 摆 试 验 残 余 变 形 比 值 ≤0.09%。</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15、粘牢合度试验时，通过浸泡、恒温、低温试验后无脱胶现象。</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无"</w:t>
            </w:r>
          </w:p>
        </w:tc>
        <w:tc>
          <w:tcPr>
            <w:tcW w:w="1045" w:type="dxa"/>
            <w:vAlign w:val="center"/>
          </w:tcPr>
          <w:p w14:paraId="698EE52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w:t>
            </w:r>
          </w:p>
        </w:tc>
        <w:tc>
          <w:tcPr>
            <w:tcW w:w="1060" w:type="dxa"/>
            <w:vAlign w:val="center"/>
          </w:tcPr>
          <w:p w14:paraId="7C4B4A04">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3A282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556E918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9</w:t>
            </w:r>
          </w:p>
        </w:tc>
        <w:tc>
          <w:tcPr>
            <w:tcW w:w="907" w:type="dxa"/>
            <w:vAlign w:val="center"/>
          </w:tcPr>
          <w:p w14:paraId="50186250">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竹制9米消防拉梯</w:t>
            </w:r>
          </w:p>
        </w:tc>
        <w:tc>
          <w:tcPr>
            <w:tcW w:w="5078" w:type="dxa"/>
            <w:vAlign w:val="center"/>
          </w:tcPr>
          <w:p w14:paraId="685D2059">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1、结构组成：主体用优质坚韧毛竹经特殊工艺处理，多层压合而成，侧板与梯登采用铆钉连接，</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2、主要应用场景：救火、救灾时登高救人、灭火作业"</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▲3、符合XF 137-2007《消防梯》标准要求。</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▲4、提供国家级权威机构检验报告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▲5、工作长度：9±0.1m；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6、收缩长度：5.5±0.1m；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▲7、收缩厚度：140±1mm；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8、收缩宽度：420±1mm；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9、最小梯宽：315±1mm；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10、梯蹬间距：340±1mm；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11、水平弯曲残余变形比值：≤0.21%；</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12、梯橙弯曲残余变形比值：≤0.16%；</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13、侧摇摆曲残余变形比值:≤0.22%；</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▲14、侧板悬臂弯曲最大变形值（mm）≤5.</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▲15、质量：≤45kg；</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外观检查：梯蹬与侧板应紧密吻合，不得松动、加楔。金属梯蹬应有防滑措施。金属零件和竹、木零件应紧密贴合，不应补塞。紧固件应垂直旋紧，不应有突出的钉头锋口和毛刺等缺陷。钏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大于等于12m的消防梯应装有支撑杆，支撑杆应妥善固定在基础梯节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17、材料：消防梯所用竹、木材料应符合附录A的要求。竹粘合集成材料的粘合牢度按6.3的方法试验后，应无脱胶现象。</w:t>
            </w:r>
          </w:p>
        </w:tc>
        <w:tc>
          <w:tcPr>
            <w:tcW w:w="1045" w:type="dxa"/>
            <w:vAlign w:val="center"/>
          </w:tcPr>
          <w:p w14:paraId="7C8D5AB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1060" w:type="dxa"/>
            <w:vAlign w:val="center"/>
          </w:tcPr>
          <w:p w14:paraId="261B64FC">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5AB6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3" w:hRule="atLeast"/>
          <w:jc w:val="center"/>
        </w:trPr>
        <w:tc>
          <w:tcPr>
            <w:tcW w:w="747" w:type="dxa"/>
            <w:vAlign w:val="center"/>
          </w:tcPr>
          <w:p w14:paraId="3831630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10</w:t>
            </w:r>
          </w:p>
        </w:tc>
        <w:tc>
          <w:tcPr>
            <w:tcW w:w="907" w:type="dxa"/>
            <w:vAlign w:val="center"/>
          </w:tcPr>
          <w:p w14:paraId="738D0F3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15米消防拉梯</w:t>
            </w:r>
          </w:p>
        </w:tc>
        <w:tc>
          <w:tcPr>
            <w:tcW w:w="5078" w:type="dxa"/>
            <w:vAlign w:val="center"/>
          </w:tcPr>
          <w:p w14:paraId="4C422000">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i w:val="0"/>
                <w:iCs w:val="0"/>
                <w:color w:val="000000"/>
                <w:kern w:val="0"/>
                <w:sz w:val="15"/>
                <w:szCs w:val="15"/>
                <w:u w:val="none"/>
                <w:lang w:val="en-US" w:eastAsia="zh-CN" w:bidi="ar"/>
              </w:rPr>
              <w:t>"一、基本描述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结构组成：采用铝合金材料制成。该梯由上、中、下三节组成，下节梯安装有支撑杆，增加整梯的稳定性。下节梯和中节梯的侧板上有滑槽，中节梯和上节梯的侧板下端装有导板，可有效保证中节梯沿下节梯滑动，上节梯沿中节梯滑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2、主要应用场景：采用高强度铝合金型材制成，经时效氧化处理后，强度高、韧性好，结构上经精心设计使用灵活方便。是消防救援人员登高救人，扑灭火灾时的主要工具。"</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"二、标准规范及检验报告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★3、符合 GA137-2007《消防梯》标准并提供国家级消防装备检验机构出具的检验报告。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三、检验报告中可体现的参数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4、外观要求：上节梯和中节梯上均安装有滑轮，可方便拉梯的展开和缩合拉梯的升降装置由滑轮、钢丝绳、拉绳和撑脚组成，在展开和缩合过程中，可保证限位安全可靠。</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外观检查：梯蹬与侧板应紧密吻合，不得松动、加楔。金属梯蹬应有防滑措施。金属零件和竹、木零件应紧密贴合，不应补塞。紧固件应垂直旋紧，不应有突出的钉头锋口和毛刺等缺陷。铆钉应紧固并呈平整半圆头。消防梯外表面应光滑无毛刺，表面应涂不导电的涂料保护，竹、木表面呈桔黄色，金属零件镀锌(或镀铬)或涂黑色磁漆。涂料表面光滑，色泽均匀，无漏涂、流痕和影响外表面质量的缺陷。拉梯的撑脚应使用金属制造，工作时应能可靠支撑在梯蹬上。拉梯在展开和缩合的过程中，其限位装置应可靠。大于等于 12m 的消防梯应装有支撑杆，支撑杆应妥善固定在基础梯节上</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6、材料：消防梯所用铝合金材料应符合 GB/T6892-2000 的规定。</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"7、外形尺寸</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（1）工作长度(m)：15+0.3。</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（2）最小梯宽(mm)：350±4。</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（3）梯蹬间距(mm)：340±2。"</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▲8、整梯质量(kg)≤57。</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9、水平弯曲残余变形比值(%)≤0.20。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10、梯蹬弯曲残余变形比值(%)≤0.20。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11、梯蹬剪切强度：梯蹬与侧板的连接处和梯蹬本身不应有任何断裂迹象。梯蹬扭转试验：以圆形截面和侧板连接的梯蹬应进行梯蹬扭转试验。梯蹬扭转试验后，梯蹬不应产生超过 9°的相对运动，且梯蹬与侧板的连接处和梯蹬本身不应有任何损坏。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12、梯节扭转试验(°)≤10。</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13、翘曲试验：试验时任一梯脚均不得离地。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14、滑移试验 试验时，各梯脚在整个试验表面不应位移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15、单撑脚载荷试验 ：拉梯的单撑脚载荷试验后，撑脚及联接件不应出现松动、损伤及变形。</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▲16、侧板悬臂弯曲最大变形值(mm) ≤1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▲17、侧摇摆试验残余变形比值(%) ≤0.1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18、撑脚安全性试验 ：三节拉梯的两侧撑脚应能同时可靠地将第二、第三梯节支撑在工作高度及以下的任何一级梯蹬上。在撑脚安全性试验时，不应出现向梯蹬外侧面移动的现象。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19、 抗冲击性能试验 试验时撑脚支撑功能应始终正常，试验后撑脚及梯蹬应无明显变形或损坏。</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"四、非检验报告内参数</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无"</w:t>
            </w:r>
          </w:p>
        </w:tc>
        <w:tc>
          <w:tcPr>
            <w:tcW w:w="1045" w:type="dxa"/>
            <w:vAlign w:val="center"/>
          </w:tcPr>
          <w:p w14:paraId="72EC2FA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w:t>
            </w:r>
          </w:p>
        </w:tc>
        <w:tc>
          <w:tcPr>
            <w:tcW w:w="1060" w:type="dxa"/>
            <w:vAlign w:val="center"/>
          </w:tcPr>
          <w:p w14:paraId="4EE864E8">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C34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C41549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11</w:t>
            </w:r>
          </w:p>
        </w:tc>
        <w:tc>
          <w:tcPr>
            <w:tcW w:w="907" w:type="dxa"/>
            <w:vAlign w:val="center"/>
          </w:tcPr>
          <w:p w14:paraId="3AF2529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水带护桥</w:t>
            </w:r>
          </w:p>
        </w:tc>
        <w:tc>
          <w:tcPr>
            <w:tcW w:w="5078" w:type="dxa"/>
            <w:vAlign w:val="center"/>
          </w:tcPr>
          <w:p w14:paraId="45B40895">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1、采用天然优质橡胶,钢模制造而成；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2、美观大方，双槽整体护桥，强度高，经久耐用，使用于出水的消防水带，以防车轮压破，是火场辅设消防水带的辅助器材；</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3、护桥槽：宽度≥90mm，深度≥75mm；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 xml:space="preserve">4、外形尺寸：≤85*57cm； </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5、底板厚度：≥5mm；</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6、质量：≤28Kg。</w:t>
            </w:r>
          </w:p>
        </w:tc>
        <w:tc>
          <w:tcPr>
            <w:tcW w:w="1045" w:type="dxa"/>
            <w:vAlign w:val="center"/>
          </w:tcPr>
          <w:p w14:paraId="4CA97FD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6C0F5228">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4AD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7A77499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12</w:t>
            </w:r>
          </w:p>
        </w:tc>
        <w:tc>
          <w:tcPr>
            <w:tcW w:w="907" w:type="dxa"/>
            <w:vAlign w:val="center"/>
          </w:tcPr>
          <w:p w14:paraId="5E89127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地上消火栓扳手</w:t>
            </w:r>
          </w:p>
        </w:tc>
        <w:tc>
          <w:tcPr>
            <w:tcW w:w="5078" w:type="dxa"/>
            <w:vAlign w:val="center"/>
          </w:tcPr>
          <w:p w14:paraId="1D2F9AB1">
            <w:pPr>
              <w:keepNext w:val="0"/>
              <w:keepLines w:val="0"/>
              <w:pageBreakBefore w:val="0"/>
              <w:widowControl/>
              <w:suppressLineNumbers w:val="0"/>
              <w:kinsoku/>
              <w:wordWrap/>
              <w:overflowPunct/>
              <w:topLinePunct w:val="0"/>
              <w:autoSpaceDE/>
              <w:autoSpaceDN/>
              <w:bidi w:val="0"/>
              <w:adjustRightInd/>
              <w:snapToGrid w:val="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1.可用于开启室外消火栓使用，本身采用红色涂层，防锈耐用。</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2.符合国家技术规范和质量标准的合格产品。</w:t>
            </w:r>
            <w:r>
              <w:rPr>
                <w:rFonts w:hint="eastAsia" w:ascii="宋体" w:hAnsi="宋体" w:eastAsia="宋体" w:cs="宋体"/>
                <w:i w:val="0"/>
                <w:iCs w:val="0"/>
                <w:color w:val="000000"/>
                <w:kern w:val="0"/>
                <w:sz w:val="15"/>
                <w:szCs w:val="15"/>
                <w:u w:val="none"/>
                <w:lang w:val="en-US" w:eastAsia="zh-CN" w:bidi="ar"/>
              </w:rPr>
              <w:br w:type="textWrapping"/>
            </w:r>
            <w:r>
              <w:rPr>
                <w:rFonts w:hint="eastAsia" w:ascii="宋体" w:hAnsi="宋体" w:eastAsia="宋体" w:cs="宋体"/>
                <w:i w:val="0"/>
                <w:iCs w:val="0"/>
                <w:color w:val="000000"/>
                <w:kern w:val="0"/>
                <w:sz w:val="15"/>
                <w:szCs w:val="15"/>
                <w:u w:val="none"/>
                <w:lang w:val="en-US" w:eastAsia="zh-CN" w:bidi="ar"/>
              </w:rPr>
              <w:t>3.重量≤1.2kg，长度40～45cm，手柄宽度≤3.6cm，开口≤6cm，五角边长≤3cm，材质铸钢。</w:t>
            </w:r>
          </w:p>
        </w:tc>
        <w:tc>
          <w:tcPr>
            <w:tcW w:w="1045" w:type="dxa"/>
            <w:vAlign w:val="center"/>
          </w:tcPr>
          <w:p w14:paraId="11EDD86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w:t>
            </w:r>
          </w:p>
        </w:tc>
        <w:tc>
          <w:tcPr>
            <w:tcW w:w="1060" w:type="dxa"/>
            <w:vAlign w:val="center"/>
          </w:tcPr>
          <w:p w14:paraId="5936F9EB">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15470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837" w:type="dxa"/>
            <w:gridSpan w:val="5"/>
            <w:shd w:val="clear" w:color="auto" w:fill="E7E6E6" w:themeFill="background2"/>
            <w:vAlign w:val="center"/>
          </w:tcPr>
          <w:p w14:paraId="4F7C0FC9">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包七</w:t>
            </w:r>
          </w:p>
        </w:tc>
      </w:tr>
      <w:tr w14:paraId="61A9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4D3D6BF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907" w:type="dxa"/>
            <w:vAlign w:val="center"/>
          </w:tcPr>
          <w:p w14:paraId="30AB97A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多功能水枪</w:t>
            </w:r>
          </w:p>
        </w:tc>
        <w:tc>
          <w:tcPr>
            <w:tcW w:w="5078" w:type="dxa"/>
            <w:vAlign w:val="center"/>
          </w:tcPr>
          <w:p w14:paraId="094B329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1、结构组成：消防枪身组件，消防枪头组件，旋转雾化齿组件，国标水带接口等；</w:t>
            </w:r>
          </w:p>
          <w:p w14:paraId="3503774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▲2、应提供国家级或国家认可的第三方检测检验机构出具的检测检验报告，且报告应完整有效。</w:t>
            </w:r>
          </w:p>
          <w:p w14:paraId="6176D68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▲3、出具的检测检验报告应包含检测标准依据：GB8181-2005《消防水枪》</w:t>
            </w:r>
          </w:p>
          <w:p w14:paraId="6A5FA9F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▲4、出具的检测检验报告还应包含检测标准依据：CCCF-CPRZ-26:2019《消防类产品认证实施细则 灭火设备产品消防给水设备产品》</w:t>
            </w:r>
          </w:p>
          <w:p w14:paraId="452F7BB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▲5、流量≥10升/秒（600升/分）；</w:t>
            </w:r>
          </w:p>
          <w:p w14:paraId="1AFAE29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6、最大喷雾角≥120°；</w:t>
            </w:r>
          </w:p>
          <w:p w14:paraId="5148B89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▲7、出水流量调节≥5档，分别是（2.5-4-6.5-8-10）升/秒；</w:t>
            </w:r>
          </w:p>
          <w:p w14:paraId="0D4366A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8、转动枪头≤90°即可实现从直流到喷雾的完全切换；</w:t>
            </w:r>
          </w:p>
          <w:p w14:paraId="3CD6C82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9、工作时雾化齿360°不间断旋转切割水雾，增大灭火面积，提高降温速度，达到最佳灭火效果；水带接口可以360°无限旋转；</w:t>
            </w:r>
          </w:p>
          <w:p w14:paraId="11E357B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10、具备冲洗功能，使用后调至冲洗档位即可对消防枪内部进行冲洗；</w:t>
            </w:r>
          </w:p>
          <w:p w14:paraId="3D75683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11、枪头上配有人体工程学凸点，既便于工作模式切换，也保证即使在视线不好时，也知道水枪的实时工作状态，凸点向上表示直流位置；</w:t>
            </w:r>
          </w:p>
          <w:p w14:paraId="08EA65F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12、采用U型手柄，工程材质球阀开关，有一定的自修复功能。</w:t>
            </w:r>
          </w:p>
        </w:tc>
        <w:tc>
          <w:tcPr>
            <w:tcW w:w="1045" w:type="dxa"/>
            <w:vAlign w:val="center"/>
          </w:tcPr>
          <w:p w14:paraId="2AA2A75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6D9F4D7B">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F778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36F9AA05">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w:t>
            </w:r>
          </w:p>
        </w:tc>
        <w:tc>
          <w:tcPr>
            <w:tcW w:w="907" w:type="dxa"/>
            <w:vAlign w:val="center"/>
          </w:tcPr>
          <w:p w14:paraId="4257D649">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移动式排烟机</w:t>
            </w:r>
          </w:p>
        </w:tc>
        <w:tc>
          <w:tcPr>
            <w:tcW w:w="5078" w:type="dxa"/>
            <w:vAlign w:val="top"/>
          </w:tcPr>
          <w:p w14:paraId="7E13DB6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▲1、结构组成：由不锈钢导风筒，轮轴式支架， 小型汽油机、风扇叶轮等组成。</w:t>
            </w:r>
          </w:p>
          <w:p w14:paraId="54F4CDC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2、主要应用场景：适用于楼层与地下室火灾中排烟及疏散被困人员。</w:t>
            </w:r>
          </w:p>
          <w:p w14:paraId="4C54147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3、应提供国家级或国家认可的第三方检测检验机构出具的检测检验报告，且报告应完整有效。</w:t>
            </w:r>
          </w:p>
          <w:p w14:paraId="5BA6473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▲4、出具的检测检验报告应包含检测标准依据： GB27901-2011《移动式消防排烟机》。</w:t>
            </w:r>
          </w:p>
          <w:p w14:paraId="5AD3B2A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5、标志 1.1.在排烟机外表明显部位应设置标牌，标牌内容 应正确齐全；</w:t>
            </w:r>
          </w:p>
          <w:p w14:paraId="1D87D03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6、标志 1.2.在排烟机外壳明显位置应有永久性气流方向 标识；</w:t>
            </w:r>
          </w:p>
          <w:p w14:paraId="4B6A900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7、联接件、紧固件应装配牢固，各种管路应固定可靠；</w:t>
            </w:r>
          </w:p>
          <w:p w14:paraId="4CA2AAE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8、黑色金属紧固件应经防腐处理。</w:t>
            </w:r>
          </w:p>
          <w:p w14:paraId="6B270EA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9、整机质量（kg）≤ 40；</w:t>
            </w:r>
          </w:p>
          <w:p w14:paraId="0C6D156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10、风量性能 ≥20000m³/h，叶轮直径 直径：(450± 10) mm；</w:t>
            </w:r>
          </w:p>
          <w:p w14:paraId="1F7CA5A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11、连续运转平稳性 排烟机进行连续运转平稳性试验，其最大自行移动距离不应超过 200rmio；</w:t>
            </w:r>
          </w:p>
          <w:p w14:paraId="19FAC89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12、倾斜运转 排烟机进行倾斜运转试验，试验中各部件不应出现漏油机械松动及其它危及人身安全、影响正常使用的现象；</w:t>
            </w:r>
          </w:p>
          <w:p w14:paraId="36291CF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13、安全要求 排烟机的进出风口应安装安全网，安全网的最小 间隙应不大于 8mmo；</w:t>
            </w:r>
          </w:p>
          <w:p w14:paraId="4482E58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14、噪声[dB (A)] ≤87；</w:t>
            </w:r>
          </w:p>
          <w:p w14:paraId="12EF4F2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15、其 他 要 求内燃机式排烟机的其他要求 低温启动性能(s) ≤30燃油箱容积 燃油箱容积应能保证排烟机在额定 转速下连续运转 1 h.隔热保护 排气管及消声器外露部分应有隔热措施。工作温度 内燃机式消防排烟机的工作温度，应符合 JB/T5135. 1 中的相关规定。排烟机叶轮 叶轮应进行超速性能试验，其超速性 能应符合相关标准的规定；</w:t>
            </w:r>
          </w:p>
          <w:p w14:paraId="338054E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16、隧道空间最大排烟量：正压≥30000m³/小时，负压≥16000m³/小时；7 片由优质铝合金精密铸造而成的翼型风机叶片，叶轮直径 直径：(450± 10) mm。既可以正压排烟和送风，又可以负压排烟和通风，内藏式 4 人把手。其风机入口或出口接上风管时能进行排烟通风作业。前后排烟口必须带有防护网罩；正负压两头都可以同时连接排烟管，设计的风机入口和出口能够接上风管正负压排烟通风作业。发动机进气口在机器外壳上部裸露出来保持吸入新鲜空气。排烟管 10 米一根，共两根。</w:t>
            </w:r>
          </w:p>
        </w:tc>
        <w:tc>
          <w:tcPr>
            <w:tcW w:w="1045" w:type="dxa"/>
            <w:vAlign w:val="center"/>
          </w:tcPr>
          <w:p w14:paraId="5CB3D48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1A46A817">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31D8D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0" w:hRule="atLeast"/>
          <w:jc w:val="center"/>
        </w:trPr>
        <w:tc>
          <w:tcPr>
            <w:tcW w:w="747" w:type="dxa"/>
            <w:vAlign w:val="center"/>
          </w:tcPr>
          <w:p w14:paraId="3EBA2BD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907" w:type="dxa"/>
            <w:vAlign w:val="center"/>
          </w:tcPr>
          <w:p w14:paraId="2CE02DA8">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直流水枪</w:t>
            </w:r>
          </w:p>
        </w:tc>
        <w:tc>
          <w:tcPr>
            <w:tcW w:w="5078" w:type="dxa"/>
            <w:vAlign w:val="center"/>
          </w:tcPr>
          <w:p w14:paraId="59CFB6B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7939AA1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1、结构组成：枪体、球阀、枪头、接口、开关手柄等。</w:t>
            </w:r>
          </w:p>
          <w:p w14:paraId="6C60688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 xml:space="preserve">2、主要应用场景：直流水枪是一种灭火的工具，与水带连接，会喷射充实密集水流。具有射程远、水量大等特点。                                           </w:t>
            </w:r>
          </w:p>
          <w:p w14:paraId="0C7880E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461FC6A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★3、符合GB 8181-2005《消防水枪》标准要求并提供国家级检验机构出具的检验报告。</w:t>
            </w:r>
          </w:p>
          <w:p w14:paraId="16F2C65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三、检验报告中可体现的参数</w:t>
            </w:r>
          </w:p>
          <w:p w14:paraId="4538623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1.火灾扑救，具有直流射水功能。</w:t>
            </w:r>
          </w:p>
          <w:p w14:paraId="4D50DD4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2.产品符合GB 8181-2005《消防水枪》标准和CCCF-CPRZ-26:2019《消费类产品认证实施规则～灭火设备产品 消防给水设备产品》检测标准。</w:t>
            </w:r>
          </w:p>
          <w:p w14:paraId="51148B4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★3.采用高强度铝合金锻造成型，材料经高温热处理使材质性能达到最优，表面经过氧化处理，外观更加美观且耐腐蚀，枪柄把手为尼龙材质，本体为直线握把直流水枪，L型操作杆可轻松操控出水开或关闭。</w:t>
            </w:r>
          </w:p>
          <w:p w14:paraId="4A4BD54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▲4.进水口65mm快速接口，流量≥7.5(L/s)，射程≥28米。</w:t>
            </w:r>
          </w:p>
          <w:p w14:paraId="67E30AB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5.提供国家消防装备质量监督检验中心出具的型式检验报告和3C认证证书。</w:t>
            </w:r>
          </w:p>
          <w:p w14:paraId="0A7809B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四、非检验报告内参数</w:t>
            </w:r>
          </w:p>
          <w:p w14:paraId="6F12A86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7、重量≤1.2千克。</w:t>
            </w:r>
          </w:p>
        </w:tc>
        <w:tc>
          <w:tcPr>
            <w:tcW w:w="1045" w:type="dxa"/>
            <w:vAlign w:val="center"/>
          </w:tcPr>
          <w:p w14:paraId="336D42F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24</w:t>
            </w:r>
          </w:p>
        </w:tc>
        <w:tc>
          <w:tcPr>
            <w:tcW w:w="1060" w:type="dxa"/>
            <w:vAlign w:val="center"/>
          </w:tcPr>
          <w:p w14:paraId="5CA45A57">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5F7A1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433BA59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w:t>
            </w:r>
          </w:p>
        </w:tc>
        <w:tc>
          <w:tcPr>
            <w:tcW w:w="907" w:type="dxa"/>
            <w:vAlign w:val="center"/>
          </w:tcPr>
          <w:p w14:paraId="70227F4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抗溶性泡沫(6%)(吨)</w:t>
            </w:r>
          </w:p>
        </w:tc>
        <w:tc>
          <w:tcPr>
            <w:tcW w:w="5078" w:type="dxa"/>
            <w:vAlign w:val="center"/>
          </w:tcPr>
          <w:p w14:paraId="78D5508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p>
          <w:p w14:paraId="22C9763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★1、结构组成：发泡剂、泡沫稳定剂、降粘剂、抗冻剂、助溶剂、防腐剂以及水组成</w:t>
            </w:r>
          </w:p>
          <w:p w14:paraId="18ECD18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2、主要应用场景：可对着火物质进行阻隔、冷却、稀释"</w:t>
            </w:r>
          </w:p>
          <w:p w14:paraId="0E5113A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"二、标准规范及检验报告</w:t>
            </w:r>
          </w:p>
          <w:p w14:paraId="0704691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3、★符合GB 15308-2006《泡沫灭火剂》、CNCA-C18-03:2014《强制性产品认证实施规则 灭火设备产品》。</w:t>
            </w:r>
          </w:p>
          <w:p w14:paraId="5251F0F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出具国家级权威检验机构出具的检验报告"</w:t>
            </w:r>
          </w:p>
          <w:p w14:paraId="5309409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三、检验报告中可体现的参数</w:t>
            </w:r>
          </w:p>
          <w:p w14:paraId="1DE2831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★4、凝固点：≤-30℃；、</w:t>
            </w:r>
          </w:p>
          <w:p w14:paraId="1A58EEA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▲5、PH 值：温度处理前：≤7.0 ，温度处理后：≤7.5</w:t>
            </w:r>
          </w:p>
          <w:p w14:paraId="3348FA2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 xml:space="preserve">6、腐蚀率 mg/（d.dm²）：温度处理前：Q235A 钢片：≤15，3A21 铝片：≤15； </w:t>
            </w:r>
          </w:p>
          <w:p w14:paraId="0364F9A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7、表面张力（mN/m）: ≤30.0；</w:t>
            </w:r>
          </w:p>
          <w:p w14:paraId="47937BC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8、润湿性：温度处理前：混合比为 0.3%时：≤121.4s，混合比为 0.6%时：≤76s，混合比为 1.0%时：≤19s；</w:t>
            </w:r>
          </w:p>
          <w:p w14:paraId="568E081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9、25%析液时间：≥6.5min；</w:t>
            </w:r>
          </w:p>
          <w:p w14:paraId="389014D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10、表面张力（18.3mN/m）温度处理前：与特征值的偏差≤10%。  界面张力（2.2mN/m）温度处理前：与特征值的偏差≤1.0mN/m或≤特征值的10%。</w:t>
            </w:r>
          </w:p>
          <w:p w14:paraId="3E23007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11、发泡倍数：≥5.9</w:t>
            </w:r>
          </w:p>
          <w:p w14:paraId="0CED662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12、温度敏感型：温度敏感型泡沫液；</w:t>
            </w:r>
          </w:p>
          <w:p w14:paraId="0CF6E49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13、灭火等级：IA，强施放灭火时间≤2.5min，ARIB级别，灭火时间≤1min；</w:t>
            </w:r>
          </w:p>
          <w:p w14:paraId="628EA55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14、抗烧时间：IA，强施放抗烧时间≥10min，ARIB级别，抗烧时间≥13min。</w:t>
            </w:r>
          </w:p>
          <w:p w14:paraId="49A2112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四、非检验报告内参数</w:t>
            </w:r>
          </w:p>
          <w:p w14:paraId="643305A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15、温度敏感型：非温度敏感型泡沫液；</w:t>
            </w:r>
          </w:p>
          <w:p w14:paraId="7CB40E0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16、抗冻结：温度处理前、后：无可见分层和非均相</w:t>
            </w:r>
          </w:p>
          <w:p w14:paraId="20998B6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17、融化性：温度处理前、后：无可见分层和非均</w:t>
            </w:r>
          </w:p>
          <w:p w14:paraId="656082C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18、比流动性：温度处理前：泡沫液流量不小于标准参比液的流量。</w:t>
            </w:r>
          </w:p>
        </w:tc>
        <w:tc>
          <w:tcPr>
            <w:tcW w:w="1045" w:type="dxa"/>
            <w:vAlign w:val="center"/>
          </w:tcPr>
          <w:p w14:paraId="192DA17C">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16</w:t>
            </w:r>
          </w:p>
        </w:tc>
        <w:tc>
          <w:tcPr>
            <w:tcW w:w="1060" w:type="dxa"/>
            <w:vAlign w:val="center"/>
          </w:tcPr>
          <w:p w14:paraId="4CCA4292">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5A99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3E61133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w:t>
            </w:r>
          </w:p>
        </w:tc>
        <w:tc>
          <w:tcPr>
            <w:tcW w:w="907" w:type="dxa"/>
            <w:vAlign w:val="center"/>
          </w:tcPr>
          <w:p w14:paraId="3CC2F91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消防过滤式自救呼吸器</w:t>
            </w:r>
          </w:p>
        </w:tc>
        <w:tc>
          <w:tcPr>
            <w:tcW w:w="5078" w:type="dxa"/>
            <w:vAlign w:val="center"/>
          </w:tcPr>
          <w:p w14:paraId="43C5009B">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一、基本描述</w:t>
            </w:r>
          </w:p>
          <w:p w14:paraId="7E64C2FC">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1、适用于宾馆、办公楼、商场、银行、邮电、电力、医院、地铁、轮船、车站、码头、公共娱乐场所和住宅等预防火灾事故时，个人防护呼吸保护必备的装置。</w:t>
            </w:r>
          </w:p>
          <w:p w14:paraId="35E61E20">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"二、标准规范及检验报告</w:t>
            </w:r>
          </w:p>
          <w:p w14:paraId="6638C1E9">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★2、符合GB21976.7-2012《建筑火灾逃生避难器材第7部分 过滤式消防自救呼吸器》、CNCA-C18-04:2014《强制性产品实施认证规则 消防装备产品》等要求。并提供国家级权威检验机构出具的检验报告。"</w:t>
            </w:r>
          </w:p>
          <w:p w14:paraId="319D5398">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三、检验报告内参数</w:t>
            </w:r>
          </w:p>
          <w:p w14:paraId="6AD23D5F">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▲3、吸气阻力＜800Pa;</w:t>
            </w:r>
          </w:p>
          <w:p w14:paraId="5C00C360">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▲4、呼气阻力＜300Pa；</w:t>
            </w:r>
          </w:p>
          <w:p w14:paraId="7833AE97">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四、非检验报告内参数</w:t>
            </w:r>
          </w:p>
          <w:p w14:paraId="59F7F8F2">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5、防护对象为一氧化碳(CO)、氰化氢(HCN)、毒烟和毒物。</w:t>
            </w:r>
          </w:p>
          <w:p w14:paraId="2BF326B7">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6、防护时间以生产厂公布值为准，最短的防护时间不小于15min。</w:t>
            </w:r>
          </w:p>
          <w:p w14:paraId="7B38BD30">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7、在整个防护时间内，透过过滤装置的一氧化碳浓度不大于200mL/m³,且透过过滤装置的一氧化碳总累积量不大于200mL。透过过滤装置的氰化氢浓度不大于10mL/m³。过滤装置油雾透过系数不大于5%。吸气温度不大于65℃。</w:t>
            </w:r>
          </w:p>
          <w:p w14:paraId="6AC05F06">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8、视野：防护头罩的双目视野不小于60%，下方视野不小于35°。</w:t>
            </w:r>
          </w:p>
          <w:p w14:paraId="66E6EF46">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9、吸入气体中的二氧化碳含量按体积计算不大于2%。</w:t>
            </w:r>
          </w:p>
          <w:p w14:paraId="7F559263">
            <w:pPr>
              <w:keepNext w:val="0"/>
              <w:keepLines w:val="0"/>
              <w:pageBreakBefore w:val="0"/>
              <w:widowControl/>
              <w:numPr>
                <w:ilvl w:val="0"/>
                <w:numId w:val="0"/>
              </w:numPr>
              <w:suppressLineNumbers w:val="0"/>
              <w:kinsoku/>
              <w:wordWrap/>
              <w:overflowPunct/>
              <w:topLinePunct w:val="0"/>
              <w:autoSpaceDE/>
              <w:autoSpaceDN/>
              <w:bidi w:val="0"/>
              <w:adjustRightInd/>
              <w:snapToGrid w:val="0"/>
              <w:spacing w:line="240" w:lineRule="auto"/>
              <w:ind w:leftChars="0"/>
              <w:jc w:val="left"/>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▲10、防护头罩眼区的漏气系数不大于20%,呼吸区的漏气系数不大于5%。如果呼啦器中不设面罩，则防护头罩的漏气系数不大于5%。</w:t>
            </w:r>
          </w:p>
        </w:tc>
        <w:tc>
          <w:tcPr>
            <w:tcW w:w="1045" w:type="dxa"/>
            <w:vAlign w:val="center"/>
          </w:tcPr>
          <w:p w14:paraId="18C5AE5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120</w:t>
            </w:r>
          </w:p>
        </w:tc>
        <w:tc>
          <w:tcPr>
            <w:tcW w:w="1060" w:type="dxa"/>
            <w:vAlign w:val="center"/>
          </w:tcPr>
          <w:p w14:paraId="1748BC00">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5DE9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0AE5BAA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7</w:t>
            </w:r>
          </w:p>
        </w:tc>
        <w:tc>
          <w:tcPr>
            <w:tcW w:w="907" w:type="dxa"/>
            <w:vAlign w:val="center"/>
          </w:tcPr>
          <w:p w14:paraId="12465F0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细水雾</w:t>
            </w:r>
          </w:p>
        </w:tc>
        <w:tc>
          <w:tcPr>
            <w:tcW w:w="5078" w:type="dxa"/>
            <w:vAlign w:val="center"/>
          </w:tcPr>
          <w:p w14:paraId="40B70D7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3AA8B64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★1、结构组成：同时配备正压式空气呼吸防护备件（呼吸面罩等），可灵活与主机搭配使用。</w:t>
            </w:r>
          </w:p>
          <w:p w14:paraId="135ADB0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2、主要应用场景：一种背负使用的压缩空气泡沫灭火系统，整机使用安全、使用期限内无需保养、使用后可自主灌装。灾害现场灭火或洗消，使操作者能够在在浓烟、有毒有害气体等环境下安全灭火；"""</w:t>
            </w:r>
          </w:p>
          <w:p w14:paraId="0F95B81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5DD0154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★3、符合Q/XFZB015-2007《两相流水雾灭火枪》标准要求。</w:t>
            </w:r>
          </w:p>
          <w:p w14:paraId="6F396FF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▲提供国家权威机构出具的检验报告。"</w:t>
            </w:r>
          </w:p>
          <w:p w14:paraId="1CD3E81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三、检验报告中可体现的参数</w:t>
            </w:r>
          </w:p>
          <w:p w14:paraId="0FE4A48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▲4、充满电的电池能喷射≥8桶水；</w:t>
            </w:r>
          </w:p>
          <w:p w14:paraId="1518007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5、水泵在额定工作压力下连续工作一小时不会出现任何问题；</w:t>
            </w:r>
          </w:p>
          <w:p w14:paraId="7FB5A05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6、喷枪连接的软管采用耐压大于额定压力1.5倍以上的编织橡胶软管；</w:t>
            </w:r>
          </w:p>
          <w:p w14:paraId="4716046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7、连接软管的爆破压力大于额定工作压力的2倍；</w:t>
            </w:r>
          </w:p>
          <w:p w14:paraId="58F7BAB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▲8、贮水桶容积：≥16L</w:t>
            </w:r>
          </w:p>
          <w:p w14:paraId="25AC28D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9、额定工作压力：≤1.2MPa</w:t>
            </w:r>
          </w:p>
          <w:p w14:paraId="7452D1D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▲10、灭火剂：AFFF-AR泡沫混合液</w:t>
            </w:r>
          </w:p>
          <w:p w14:paraId="317B27E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11、软管长度：≥1m</w:t>
            </w:r>
          </w:p>
          <w:p w14:paraId="599C40A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12、流量：直流≥15 L/min，喷雾≥16 L/min</w:t>
            </w:r>
          </w:p>
          <w:p w14:paraId="656A65F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▲13、喷射时间：直流≥55s，喷雾≥55s</w:t>
            </w:r>
          </w:p>
          <w:p w14:paraId="6A01D5C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14、射程：直流≥13.5m，喷雾≥8.0m</w:t>
            </w:r>
          </w:p>
          <w:p w14:paraId="1D7F6D9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15、喷射角：≥20°；</w:t>
            </w:r>
          </w:p>
          <w:p w14:paraId="55CDF4A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四、非检验报告内参数</w:t>
            </w:r>
          </w:p>
          <w:p w14:paraId="1D17E8E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17、额定混合比：≥3%</w:t>
            </w:r>
          </w:p>
          <w:p w14:paraId="470DDDB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18、发泡倍数：≥ 5</w:t>
            </w:r>
          </w:p>
          <w:p w14:paraId="11706BE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19、5%析液时间：≥3.0min</w:t>
            </w:r>
          </w:p>
          <w:p w14:paraId="4D90650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▲20、整体质量：≤16kg(不含水)</w:t>
            </w:r>
          </w:p>
        </w:tc>
        <w:tc>
          <w:tcPr>
            <w:tcW w:w="1045" w:type="dxa"/>
            <w:vAlign w:val="center"/>
          </w:tcPr>
          <w:p w14:paraId="19B5D9B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w:t>
            </w:r>
          </w:p>
        </w:tc>
        <w:tc>
          <w:tcPr>
            <w:tcW w:w="1060" w:type="dxa"/>
            <w:vAlign w:val="center"/>
          </w:tcPr>
          <w:p w14:paraId="0B982E5B">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0FC1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837" w:type="dxa"/>
            <w:gridSpan w:val="5"/>
            <w:shd w:val="clear" w:color="auto" w:fill="E7E6E6" w:themeFill="background2"/>
            <w:vAlign w:val="center"/>
          </w:tcPr>
          <w:p w14:paraId="0EB67D57">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包八</w:t>
            </w:r>
          </w:p>
        </w:tc>
      </w:tr>
      <w:tr w14:paraId="71BE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17E08D01">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907" w:type="dxa"/>
            <w:vAlign w:val="center"/>
          </w:tcPr>
          <w:p w14:paraId="7A1867E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灭火机器人</w:t>
            </w:r>
          </w:p>
        </w:tc>
        <w:tc>
          <w:tcPr>
            <w:tcW w:w="5078" w:type="dxa"/>
            <w:vAlign w:val="center"/>
          </w:tcPr>
          <w:p w14:paraId="7C17C27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1、结构组成：消防灭火机器人只要由消防机器人专用底盘、多功能消防水炮、遥控接收系统、自保喷淋系统、专用绞盘等组成。</w:t>
            </w:r>
          </w:p>
          <w:p w14:paraId="6EA5F3D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消防灭火机器人具有远程控制、机动灵活、流量大、射程远等优点，是代替消防员进入高温、浓烟、缺氧等灾害事故现场完成侦查、灭火、搜救等急难险重任务的高精尖装备。为消防战斗人员在极危环境下扑救火灾提供有力帮助。</w:t>
            </w:r>
          </w:p>
          <w:p w14:paraId="3CA9374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★3、提供应急管理部消防产品合格评定中心出具的检测报告（检验机构名单详见应急管理部消防产品合格评定中心)。</w:t>
            </w:r>
          </w:p>
          <w:p w14:paraId="113DBAA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★4、出具的检测检验报告应包含检测标准依据：XF892.1-2010《消防机器人第1部分 ：通用技术条件》。</w:t>
            </w:r>
          </w:p>
          <w:p w14:paraId="35724F3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消防机器人上布置的电气、液压、气动线路应排列整齐、固定牢靠、走向合理，便于安装、拆卸，并用醒目的颜色和标志加以区分；电气、液压、气动系统不得有漏电、油、漏气现象；润滑和冷却情况应满足本标准的相关规定。</w:t>
            </w:r>
          </w:p>
          <w:p w14:paraId="26FEEAB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6、控制方式为人工遥控。</w:t>
            </w:r>
          </w:p>
          <w:p w14:paraId="1D4C207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▲7、遥控距离：≥150m。</w:t>
            </w:r>
          </w:p>
          <w:p w14:paraId="743AB79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8、直行速度：≥1.5m/s。</w:t>
            </w:r>
          </w:p>
          <w:p w14:paraId="24784D2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9、直行跑偏量≤5%。</w:t>
            </w:r>
          </w:p>
          <w:p w14:paraId="642F912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10、转弯直径/自身长度≤1.9。</w:t>
            </w:r>
          </w:p>
          <w:p w14:paraId="1E4ABA1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▲11、爬坡能力≥90%。</w:t>
            </w:r>
          </w:p>
          <w:p w14:paraId="6220DD6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12、越障高度/离地间隙≥1。</w:t>
            </w:r>
          </w:p>
          <w:p w14:paraId="5E7A122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13、制动距离≤0.3m。</w:t>
            </w:r>
          </w:p>
          <w:p w14:paraId="5E7E14D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14、消防炮额定工作压力：水≥1.0Mpa，泡沫混合液≥1.0Mpa。</w:t>
            </w:r>
          </w:p>
          <w:p w14:paraId="07E6E41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▲15、消防炮流量：水≥155L/s，泡沫混合液≥155L/s。</w:t>
            </w:r>
          </w:p>
          <w:p w14:paraId="7258052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▲16、消防炮射程：水≥108m；低倍泡沫≥103m。</w:t>
            </w:r>
          </w:p>
          <w:p w14:paraId="23108DD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▲17、俯仰角≥-40°-90°。</w:t>
            </w:r>
          </w:p>
          <w:p w14:paraId="5FD5E56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▲18、水平回转角≥-100°-100°。</w:t>
            </w:r>
          </w:p>
          <w:p w14:paraId="1AEABBC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19、履带底盘设计，具有高温自启动自喷淋冷却降温功能，机器人前部、履带上部、后部均配有喷淋头。</w:t>
            </w:r>
          </w:p>
          <w:p w14:paraId="37C9BCA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20、消防炮可喷射中低倍数泡沫、配备中低倍泡沫炮管。</w:t>
            </w:r>
          </w:p>
          <w:p w14:paraId="56E1A7D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21、具有一个以上高清摄像头、远距离传输、夜间照明；在机器人后方具有红蓝双色警报爆闪功能。</w:t>
            </w:r>
          </w:p>
          <w:p w14:paraId="1DD3CFD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22、在浓烟状态下可根据爆闪灯照射浓烟的不同颜色判断机器人的行进方向。</w:t>
            </w:r>
          </w:p>
          <w:p w14:paraId="1F3227B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23、具有有线控制和无线控制切换功能。</w:t>
            </w:r>
          </w:p>
          <w:p w14:paraId="6325203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24、具有便携式外部充电功能，内置式充电机，外部无需搭接充电机。</w:t>
            </w:r>
          </w:p>
          <w:p w14:paraId="0A169EE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25、机器人启动后，发动机同步给蓄电池进行充电。</w:t>
            </w:r>
          </w:p>
          <w:p w14:paraId="42D06AE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26、可拖动满足机器人喷射流量的水带（10条以上充实的80mm水带）。</w:t>
            </w:r>
          </w:p>
          <w:p w14:paraId="5DB8A45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27、可实现边打水边行走。</w:t>
            </w:r>
          </w:p>
          <w:p w14:paraId="38E191C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28、机器人后方应不少于两路80mm进水口。</w:t>
            </w:r>
          </w:p>
          <w:p w14:paraId="6A323C4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29、机器人前方应配备可拆卸式电动绞盘。</w:t>
            </w:r>
          </w:p>
          <w:p w14:paraId="5924A3C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30、履带应为阻燃材料。</w:t>
            </w:r>
          </w:p>
          <w:p w14:paraId="6F0A9C7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31、底盘驱动类型：柴油转液压马达。</w:t>
            </w:r>
          </w:p>
          <w:p w14:paraId="2EE6A49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32、液压采用：双功率流差速转向装置，履带速度无级调节。</w:t>
            </w:r>
          </w:p>
          <w:p w14:paraId="37434A0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33、发动机额定功率：≥18KW。</w:t>
            </w:r>
          </w:p>
          <w:p w14:paraId="5BCBA6E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34、可通过遥控底盘完成更大角度的灭火，底盘可360°原地转向。</w:t>
            </w:r>
          </w:p>
          <w:p w14:paraId="0A0838D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35、消防炮俯仰有自摆功能；自摆角度可调。</w:t>
            </w:r>
          </w:p>
          <w:p w14:paraId="1C733A8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36、最大涉水深度：≥30cm。</w:t>
            </w:r>
          </w:p>
          <w:p w14:paraId="402C681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37、最大牵引力：≥5.2kN。</w:t>
            </w:r>
          </w:p>
          <w:p w14:paraId="1A08CE7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38、最大爬坡角度：≥35°。</w:t>
            </w:r>
          </w:p>
          <w:p w14:paraId="3BAC101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39、横向倾斜角≥30°。</w:t>
            </w:r>
          </w:p>
          <w:p w14:paraId="5B359BC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40、整机连续稳定运行时间：≥8h；油箱容积≥30L。</w:t>
            </w:r>
          </w:p>
          <w:p w14:paraId="184F173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41、机器人具备远程启停功能。</w:t>
            </w:r>
          </w:p>
          <w:p w14:paraId="0837B19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42、可远程调节发动机转速，控制油耗，延长运行时间。</w:t>
            </w:r>
          </w:p>
          <w:p w14:paraId="2599C67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▲43、自重：≥1950kg。</w:t>
            </w:r>
          </w:p>
          <w:p w14:paraId="3AC9483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▲44、外形尺寸：≤2260mm(长）*1530mm（宽）*1380mm（高）。</w:t>
            </w:r>
          </w:p>
          <w:p w14:paraId="2DE7C71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45、注：标▲须在应急管理部消防产品合格评定中心出具的检测报告中体现，不体现或不满足视为负偏离。</w:t>
            </w:r>
          </w:p>
          <w:p w14:paraId="18A654A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机器人运输车：</w:t>
            </w:r>
          </w:p>
          <w:p w14:paraId="093B7DB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 基本数据 1.1★满足国VI排放标准要求；</w:t>
            </w:r>
          </w:p>
          <w:p w14:paraId="7CC5C8B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1.2车厢制作采用铝型材工艺或电泳磷化工艺，牢固可靠，防腐防锈性能不低于8年；</w:t>
            </w:r>
          </w:p>
          <w:p w14:paraId="24C59D6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1.3驾驶室可乘坐人数≥2人；</w:t>
            </w:r>
          </w:p>
          <w:p w14:paraId="27E3C44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1.4配备前后保险杠，防护车身。</w:t>
            </w:r>
          </w:p>
          <w:p w14:paraId="59150CC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 主要参数 2.1外形尺寸（mm）：≥8500×2500×3900；</w:t>
            </w:r>
          </w:p>
          <w:p w14:paraId="19CFEBC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2.2厢式尺寸（mm）：≥6500×2400×2500；</w:t>
            </w:r>
          </w:p>
          <w:p w14:paraId="35054A6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2.3总质量（kg）：≥18000；装备质量（kg）：≥7500；</w:t>
            </w:r>
          </w:p>
          <w:p w14:paraId="214490E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2.4额定载质量（kg）：≥9900；</w:t>
            </w:r>
          </w:p>
          <w:p w14:paraId="08DD4F2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2.5▲发动机功率（kw）：≥210；</w:t>
            </w:r>
          </w:p>
          <w:p w14:paraId="0341827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2.6排量（ml）：≥6800；</w:t>
            </w:r>
          </w:p>
          <w:p w14:paraId="002B0A3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2.7驱动型式：4×2；</w:t>
            </w:r>
          </w:p>
          <w:p w14:paraId="1EAEF80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2.8轴距（mm）：≥5000。</w:t>
            </w:r>
          </w:p>
          <w:p w14:paraId="6D07C32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 驾驶室及乘员室 3.1两门标准驾驶室，带卧铺，具有中控锁、翻转助力系统，翻转支撑结构可靠；</w:t>
            </w:r>
          </w:p>
          <w:p w14:paraId="7A44070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3.2配备冷暖空调，室内LED照明；</w:t>
            </w:r>
          </w:p>
          <w:p w14:paraId="63589D9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3.3驾驶室后视镜安装要求：两侧电加热后视镜，两侧广角加热后视镜，并符合GB15083-2013《机动车辆间接视野装置性能和安装要求》；</w:t>
            </w:r>
          </w:p>
          <w:p w14:paraId="174E654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3.4座位设置：驾驶员空气悬浮座椅，座位≥2人，乘员座椅舒适度符合长途乘坐要求；</w:t>
            </w:r>
          </w:p>
          <w:p w14:paraId="31DE289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3.5上下车踏板：踏板强度加强，具有防滑效果；</w:t>
            </w:r>
          </w:p>
          <w:p w14:paraId="53C85DA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 上装部分 4.1底板厚度：≥3mm；</w:t>
            </w:r>
          </w:p>
          <w:p w14:paraId="173BA6A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4.2边板规格：≥1.2mm；</w:t>
            </w:r>
          </w:p>
          <w:p w14:paraId="7049F3B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4.3边梁规格：不低于120#型材；</w:t>
            </w:r>
          </w:p>
          <w:p w14:paraId="539047B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4.4▲采用升降尾板，液压平台的承载重量≥3000 Kg。</w:t>
            </w:r>
          </w:p>
          <w:p w14:paraId="250EC76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 电气设备 5.1车辆照明：采用≥24V电压，须符合GB4785-2019 规定要求；</w:t>
            </w:r>
          </w:p>
          <w:p w14:paraId="079A6DA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5.2驾驶室内设置不少于1个24V/12V通讯电源接口；</w:t>
            </w:r>
          </w:p>
          <w:p w14:paraId="3A8992C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5.3附加电器应设为独立式电路，控制装置安装在驾驶室内。警报器、警灯、照明灯电路为独立式附加电路，控制器件安装在驾驶室内。</w:t>
            </w:r>
          </w:p>
          <w:p w14:paraId="617417B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 车身要求 6.1车身漆料：车厢表面喷涂消防红色漆，为保证夜间工作安全，车身设有符合安全标准要求的荧光反光带；6.2整车标识：按用户要求喷涂；</w:t>
            </w:r>
          </w:p>
          <w:p w14:paraId="7FA3AFD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6.3技术要求：应符合GB/T 3181的有关规定。</w:t>
            </w:r>
          </w:p>
          <w:p w14:paraId="60A14F3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 其他 7.1货厢配货物固定扎紧带；备用轮胎1只；</w:t>
            </w:r>
          </w:p>
          <w:p w14:paraId="356D93F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7.2包含汽车保险、税、上牌等一切费用；</w:t>
            </w:r>
          </w:p>
          <w:p w14:paraId="2F67061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7.3必须提供所投车辆工信部公告、国家级检测机构出具的检验报告及有效证明文件。</w:t>
            </w:r>
          </w:p>
        </w:tc>
        <w:tc>
          <w:tcPr>
            <w:tcW w:w="1045" w:type="dxa"/>
            <w:vAlign w:val="center"/>
          </w:tcPr>
          <w:p w14:paraId="5A6A94BE">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1060" w:type="dxa"/>
            <w:vAlign w:val="center"/>
          </w:tcPr>
          <w:p w14:paraId="4D11ACF3">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2F94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837" w:type="dxa"/>
            <w:gridSpan w:val="5"/>
            <w:shd w:val="clear" w:color="auto" w:fill="E7E6E6" w:themeFill="background2"/>
            <w:vAlign w:val="center"/>
          </w:tcPr>
          <w:p w14:paraId="61676C20">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default" w:ascii="宋体" w:hAnsi="宋体" w:eastAsia="宋体" w:cs="宋体"/>
                <w:color w:val="000000"/>
                <w:sz w:val="18"/>
                <w:szCs w:val="18"/>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包九</w:t>
            </w:r>
          </w:p>
        </w:tc>
      </w:tr>
      <w:tr w14:paraId="2D81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98C7E73">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907" w:type="dxa"/>
            <w:vAlign w:val="center"/>
          </w:tcPr>
          <w:p w14:paraId="56D719EB">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5G单兵</w:t>
            </w:r>
          </w:p>
        </w:tc>
        <w:tc>
          <w:tcPr>
            <w:tcW w:w="5078" w:type="dxa"/>
            <w:vAlign w:val="center"/>
          </w:tcPr>
          <w:p w14:paraId="3029DDA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1、结构组成：主机、电池、背夹、数据线、安全箱</w:t>
            </w:r>
          </w:p>
          <w:p w14:paraId="1776E66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2、主要应用场景：用于消防员灭火救援作业中移动过程中的视频传输</w:t>
            </w:r>
          </w:p>
          <w:p w14:paraId="591F51B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▲3、应提供国家级或国家认可的第三方检测检验机构出具的检测检验报告，且报告应完整有效。</w:t>
            </w:r>
          </w:p>
          <w:p w14:paraId="2FEAC3F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▲4、出具的检测检验报告应包含检测标准依据：GB T15211-2013，GA T947.2-2015，GB 3836.1-2010 GB 3836.4-2010，GB T28181</w:t>
            </w:r>
          </w:p>
          <w:p w14:paraId="0149131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▲5、支持双摄像头采集、双MIC输入、双TF卡存储、双SIM卡传输</w:t>
            </w:r>
          </w:p>
          <w:p w14:paraId="189248B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▲6、配置要求支持Android7.1以上操作系统、8核CPU、主频不低于2.0Ghz，RAM≥4GB，ROM≥64GB，外接存储支持2X512GB</w:t>
            </w:r>
          </w:p>
          <w:p w14:paraId="769CEB8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7、视频压缩支持H.264或H.265，在两种压缩格式下，主副摄像头分辨率要求支持1920x1080、1280x720、640x480，主摄像头水平中心分辨力要求≥1300TVL、副摄像头水平中心分辨力要求≥600TVL，帧率1-30帧可调</w:t>
            </w:r>
          </w:p>
          <w:p w14:paraId="411793D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8、支持HDMI外接视频输入，分辨率支持1920x1080、1280x720</w:t>
            </w:r>
          </w:p>
          <w:p w14:paraId="158455D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9、屏幕尺寸≥4.5吋，分辨率不低于1334*750</w:t>
            </w:r>
          </w:p>
          <w:p w14:paraId="27A23BF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▲10、外壳防护等级支持IP68</w:t>
            </w:r>
          </w:p>
          <w:p w14:paraId="7084B35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11、支持接入中国移动、中国电信、中国联通4G、5G网络</w:t>
            </w:r>
          </w:p>
          <w:p w14:paraId="37AA67A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▲12、在开机状态下，6min内更换电池设备原工作状态不变，且数据不丢失</w:t>
            </w:r>
          </w:p>
          <w:p w14:paraId="4EF0A9B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13、支持裸机跌落，设备开机状态下，在垂直2000mm水泥地面6个面各跌落2次，设备能正常工作</w:t>
            </w:r>
          </w:p>
          <w:p w14:paraId="6B61F46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14、外观尺寸≤180×80×40(mm) ，重量≤450克</w:t>
            </w:r>
          </w:p>
          <w:p w14:paraId="70D7709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15、支持双码流输出，双码流参数可独立设置</w:t>
            </w:r>
          </w:p>
          <w:p w14:paraId="08BA35A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16、支持红蓝绿三色指示欠压、充电、充满指示，支持低电量报警</w:t>
            </w:r>
          </w:p>
          <w:p w14:paraId="4C5478E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17、支持在联网状态下与平台、其他设备进行群组对讲</w:t>
            </w:r>
          </w:p>
          <w:p w14:paraId="00000FE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18、支持远程发送文字、图片、语音、视频短片</w:t>
            </w:r>
          </w:p>
          <w:p w14:paraId="4A81346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19、设备内置北斗定位模块，内置定位天线，仅北斗定位模式，定位精度15m，支持将定位数据上传至服务器，同时支持可离线补传定位数据</w:t>
            </w:r>
          </w:p>
          <w:p w14:paraId="4398906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20、具备开关机、旋转、菜单、翻页+/-、PTT、对讲、SOS、拍照、录像、等按键</w:t>
            </w:r>
          </w:p>
          <w:p w14:paraId="7ACE5BD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▲21、原厂提供可无缝接入江苏省消防救援总队互联网图像管理平台和消防救援局图像综合管理平台承诺函，并加盖原厂公章</w:t>
            </w:r>
          </w:p>
          <w:p w14:paraId="0DDB0C5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22、设备工作温度-20℃至60℃</w:t>
            </w:r>
          </w:p>
          <w:p w14:paraId="03706AE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23、标配座充，可同时给主机和电池充电，随主机配备背夹、数据线</w:t>
            </w:r>
          </w:p>
          <w:p w14:paraId="7531730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24、持续工作时间不低于6h</w:t>
            </w:r>
          </w:p>
        </w:tc>
        <w:tc>
          <w:tcPr>
            <w:tcW w:w="1045" w:type="dxa"/>
            <w:vAlign w:val="center"/>
          </w:tcPr>
          <w:p w14:paraId="3F719ABD">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00A48299">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42FA8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26E41DBF">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2</w:t>
            </w:r>
          </w:p>
        </w:tc>
        <w:tc>
          <w:tcPr>
            <w:tcW w:w="907" w:type="dxa"/>
            <w:vAlign w:val="center"/>
          </w:tcPr>
          <w:p w14:paraId="20111D26">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无人机</w:t>
            </w:r>
          </w:p>
        </w:tc>
        <w:tc>
          <w:tcPr>
            <w:tcW w:w="5078" w:type="dxa"/>
            <w:vAlign w:val="center"/>
          </w:tcPr>
          <w:p w14:paraId="3849DEC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1、结构组成：小型双光无人机、含配件（包括原厂保护箱一个、电池四块、充电器、充电管家、RTK模块、喊话器、备用桨叶）</w:t>
            </w:r>
          </w:p>
          <w:p w14:paraId="41158BD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2、主要应用场景：灭火救援工作中无人机侦查</w:t>
            </w:r>
          </w:p>
          <w:p w14:paraId="3316069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▲3、应提供国家级或国家认可的第三方检测检验机构出具的检测检验报告，且报告应完整有效。</w:t>
            </w:r>
          </w:p>
          <w:p w14:paraId="585BD61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4、飞行器</w:t>
            </w:r>
          </w:p>
          <w:p w14:paraId="0970612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（1）重量≤1000g</w:t>
            </w:r>
          </w:p>
          <w:p w14:paraId="1535E52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（2）轴距≤400mm</w:t>
            </w:r>
          </w:p>
          <w:p w14:paraId="0ACEFD9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（3）GNSS系统：须包含北斗卫星</w:t>
            </w:r>
          </w:p>
          <w:p w14:paraId="488B2C8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（4）最大上升速度：≥5 m/s</w:t>
            </w:r>
          </w:p>
          <w:p w14:paraId="0BE1B45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（5）最大下降速度：≥5 m/s</w:t>
            </w:r>
          </w:p>
          <w:p w14:paraId="15046D6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（6）最大水平飞行速度：≥18m/s</w:t>
            </w:r>
          </w:p>
          <w:p w14:paraId="1AA2594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（7）最大飞行海拔高度：≥5000米</w:t>
            </w:r>
          </w:p>
          <w:p w14:paraId="67F4B1F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（8）最大飞行时间≥40分钟</w:t>
            </w:r>
          </w:p>
          <w:p w14:paraId="7067D74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（9）GNSS系统：须包含北斗卫星</w:t>
            </w:r>
          </w:p>
          <w:p w14:paraId="7DB9F7AF">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5、红外相机</w:t>
            </w:r>
          </w:p>
          <w:p w14:paraId="3516CF9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（1）红外相机分辨率≥640*512@30fps</w:t>
            </w:r>
          </w:p>
          <w:p w14:paraId="244E4E8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（2）视频码率≥6Mbps</w:t>
            </w:r>
          </w:p>
          <w:p w14:paraId="551D87D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（3）传感器：非制冷氧化钒</w:t>
            </w:r>
          </w:p>
          <w:p w14:paraId="6FA48B6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6、广角相机</w:t>
            </w:r>
          </w:p>
          <w:p w14:paraId="37CFE54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（1）影像传感器≥1/2" CMOS</w:t>
            </w:r>
          </w:p>
          <w:p w14:paraId="31C13C2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（2）有效像素≥4800万</w:t>
            </w:r>
          </w:p>
          <w:p w14:paraId="31CF179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7、智能飞行</w:t>
            </w:r>
          </w:p>
          <w:p w14:paraId="54250FF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（1）电池容量≥4500mAh</w:t>
            </w:r>
          </w:p>
          <w:p w14:paraId="7ABB67E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（2）重量≤350克</w:t>
            </w:r>
          </w:p>
          <w:p w14:paraId="22A3D1B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8、RTK 模块</w:t>
            </w:r>
          </w:p>
          <w:p w14:paraId="4704797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（1）功率≥1瓦</w:t>
            </w:r>
          </w:p>
          <w:p w14:paraId="2EA61E0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（2）RTK 位置精度：在 RTK FIX 时1cm+1ppm （水平）1.5cm+1 ppm（垂直）</w:t>
            </w:r>
          </w:p>
          <w:p w14:paraId="3DE37D5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9、喊话器</w:t>
            </w:r>
          </w:p>
          <w:p w14:paraId="690F108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（1）1米处最大响度≥100分贝</w:t>
            </w:r>
          </w:p>
          <w:p w14:paraId="402599CB">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（2）接口：USB-C</w:t>
            </w:r>
          </w:p>
          <w:p w14:paraId="10CC9CD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▲10、遥控器：</w:t>
            </w:r>
          </w:p>
          <w:p w14:paraId="65668818">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（1）屏幕尺寸≥5.5英寸</w:t>
            </w:r>
          </w:p>
          <w:p w14:paraId="7A59C9F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（2）支持HDMI或MINI HDMI接口输出</w:t>
            </w:r>
          </w:p>
          <w:p w14:paraId="3A5D340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11、存储卡：内存容量≥64G</w:t>
            </w:r>
          </w:p>
          <w:p w14:paraId="01DF7BA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12、机损险（3年）</w:t>
            </w:r>
          </w:p>
          <w:p w14:paraId="08C8D9E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原厂服务，设备激活后一年内因非产品问题导致的付费维修，累计享有与设备主体等价值的免费维修额度，不限次数，并为飞行器产品提供第三者责任险</w:t>
            </w:r>
          </w:p>
        </w:tc>
        <w:tc>
          <w:tcPr>
            <w:tcW w:w="1045" w:type="dxa"/>
            <w:vAlign w:val="center"/>
          </w:tcPr>
          <w:p w14:paraId="000A8EB7">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41C26154">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r w14:paraId="5AB60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47" w:type="dxa"/>
            <w:vAlign w:val="center"/>
          </w:tcPr>
          <w:p w14:paraId="470242A2">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3</w:t>
            </w:r>
          </w:p>
        </w:tc>
        <w:tc>
          <w:tcPr>
            <w:tcW w:w="907" w:type="dxa"/>
            <w:vAlign w:val="center"/>
          </w:tcPr>
          <w:p w14:paraId="61AF937A">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5G布控球</w:t>
            </w:r>
          </w:p>
        </w:tc>
        <w:tc>
          <w:tcPr>
            <w:tcW w:w="5078" w:type="dxa"/>
            <w:vAlign w:val="center"/>
          </w:tcPr>
          <w:p w14:paraId="3423003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一、基本描述</w:t>
            </w:r>
          </w:p>
          <w:p w14:paraId="66945C9E">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1、结构组成：布控球主机、防护箱、托盘、三脚支架、蓝牙耳机、充电线、球机安全绳、有线手咪和车载充电器。</w:t>
            </w:r>
          </w:p>
          <w:p w14:paraId="4EF7785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2、主要应用场景：用于消防员灭火救援作业现场图像实施传输。</w:t>
            </w:r>
          </w:p>
          <w:p w14:paraId="6BE36207">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二、标准规范及检验报告</w:t>
            </w:r>
          </w:p>
          <w:p w14:paraId="503F142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★3、产品提供由国家权威机构检验中心出具的检验报告</w:t>
            </w:r>
          </w:p>
          <w:p w14:paraId="66026B4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▲4、产品通过基于GB16796-2009、GB/T 17626.2-2018、GB/T 17626.3-2016、GB/T 17626.5-2019、GB/T 15211-2013、GA/T645-2014检测依据"</w:t>
            </w:r>
          </w:p>
          <w:p w14:paraId="1D332D2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三、检验报告内参数</w:t>
            </w:r>
          </w:p>
          <w:p w14:paraId="1C2ECA6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▲5、产品要求具备双电源接口，1报警输入和1报警输出接口，双SD卡，4G+5G卡位，双扬声器、具备debug接口及复位按钮（以检测报告为准，原件备查）；</w:t>
            </w:r>
          </w:p>
          <w:p w14:paraId="2AF48D3D">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▲6、支持近距离红外补光，远距离激光补光，可看清距样机100m处人体轮廓，补光角度：激光：≤15°，红外：≤60°（以检测报告为准，原件备查）；</w:t>
            </w:r>
          </w:p>
          <w:p w14:paraId="5D657B2A">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▲7、支持内置拾音器，支持通过语音智能控制样机向左转、向右转、向上转、向下转、停止转动、变倍、热点/无线切换等功能；</w:t>
            </w:r>
          </w:p>
          <w:p w14:paraId="29FB3B4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8、内置双扬声器，可自定义文本转语音播报，样机可外接有线手咪或无线蓝牙手咪，支持双向语音，支持集群对讲；</w:t>
            </w:r>
          </w:p>
          <w:p w14:paraId="0DFC65F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9、支持人脸识别、支持未戴安全帽、未佩戴口罩、吸烟等行为检测、支持车牌识别，并可语音报警，将报警信息上传至服务器，同时将识别结果叠加在视频图像中；</w:t>
            </w:r>
          </w:p>
          <w:p w14:paraId="20E95C9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10、设备要求支持在-30-60℃下能正常工作；</w:t>
            </w:r>
          </w:p>
          <w:p w14:paraId="45A8568C">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11、设备静电放电抗扰度应符合GB/T17626.2-2018中试验等级3的规定，射频电磁场辐射抗扰度应符合GB/T17626.3-2016中试验等级3的规定，浪涌（冲击）抗扰度应符合GB/T17626.5-2019中试验等级4的规定，设备的电源插头或电源引入端与外壳裸露金属部件之间，应能承受GB16796-2009中表1规定的45Hz~65Hz交流电的抗电强度试验，历时1min应无击穿和飞弧现象</w:t>
            </w:r>
          </w:p>
          <w:p w14:paraId="60210E3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12、设备外壳防护符合GB/T4208-2017中IP66的规定，带包装跌落高度1.5m跌落后，设备能正常工作。</w:t>
            </w:r>
          </w:p>
          <w:p w14:paraId="421C3BE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13、产品尺寸直径≤160mm，高度≤260mm；</w:t>
            </w:r>
          </w:p>
          <w:p w14:paraId="41F247C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14、云台支持水平360°连续转动、垂直-20°-90°转动，水平转速≥120°/s，垂直转速≥30°/s；</w:t>
            </w:r>
          </w:p>
          <w:p w14:paraId="673E058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15、支持变倍控制、隐私区域遮挡、支持3D定位；</w:t>
            </w:r>
          </w:p>
          <w:p w14:paraId="0EB0E5B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16、编码算法支持H.264和H.265;</w:t>
            </w:r>
          </w:p>
          <w:p w14:paraId="7B26FCC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17、要求支持视频双码流，双码流规格均支持1920×1080/1280x720/640x480，帧率1-30帧/秒可调，码流64kbps~10Mbps可设置；</w:t>
            </w:r>
          </w:p>
          <w:p w14:paraId="7F7F0E5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18、支持图片抓拍，抓拍图片支持保存到本地或上传到服务器，且可在本地检索回放，图片分辨率支持1920×1080/1280x720/640x480；</w:t>
            </w:r>
          </w:p>
          <w:p w14:paraId="7EA2B901">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19、支持在输出的图像中叠加中文文字和符号信息，信息至少包括：时间、经纬度、名称等。支持根据分辨率适配字体大小：VGA：32*32、720P：48*48、1080P：64*64；</w:t>
            </w:r>
          </w:p>
          <w:p w14:paraId="70E1AB99">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20、网络通信功能：支持5G、4G通信；支持WiFi通信、AP热点通信，可通过手动或语音切换WiFi与AP热点模式；支持以太网，    10/100自适应全双工模式；支持蓝牙通信，可搜索蓝牙设备列表选择配对，并可保存配对信息和自动连接；</w:t>
            </w:r>
          </w:p>
          <w:p w14:paraId="54113595">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21、可持双TF卡存储，单卡最大可支持512GB，存储格式具有流式文件和电脑通用文件格式可选，存储的录像文件支持通过有线和无线方式导出；</w:t>
            </w:r>
          </w:p>
          <w:p w14:paraId="28D16094">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22、设备内置北斗和GPS定位模块，内置定位天线，支持北斗优先定位或仅北斗定位模式，，GPS定位时长小于60s，定位精度15m，支持将定位数据上传至服务器，同时支持可离线补传定位数据；</w:t>
            </w:r>
          </w:p>
          <w:p w14:paraId="73E7C006">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23、设备采用宽电源设计，DC8V-36V范围内，样机可正常工作，并支持ACC信号开关机；设备自带液晶显示屏，支持查看当前拨号、电量、网络、录像、定位和存储状态；</w:t>
            </w:r>
          </w:p>
          <w:p w14:paraId="46F22AF0">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24、支持远程配置设备参数，包括视频参数、网络参数、音频参数、定位参数、远程升级和恢复出厂设置等；支持通过手机连接样机AP热点，并可实现预览视频，双向语音对讲，录像查询、回放，以及视频/网络/音频/定位等参数配置功能；</w:t>
            </w:r>
          </w:p>
          <w:p w14:paraId="6BF653B2">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四、非检验报告内参数</w:t>
            </w:r>
          </w:p>
          <w:p w14:paraId="72465C63">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center"/>
              <w:rPr>
                <w:rFonts w:hint="eastAsia" w:ascii="宋体" w:hAnsi="宋体" w:eastAsia="宋体" w:cs="宋体"/>
                <w:color w:val="000000"/>
                <w:kern w:val="0"/>
                <w:sz w:val="15"/>
                <w:szCs w:val="15"/>
                <w:highlight w:val="none"/>
                <w:vertAlign w:val="baseline"/>
                <w:lang w:val="en-US" w:eastAsia="zh-CN" w:bidi="ar-SA"/>
              </w:rPr>
            </w:pPr>
            <w:r>
              <w:rPr>
                <w:rFonts w:hint="eastAsia" w:ascii="宋体" w:hAnsi="宋体" w:eastAsia="宋体" w:cs="宋体"/>
                <w:color w:val="000000"/>
                <w:kern w:val="0"/>
                <w:sz w:val="15"/>
                <w:szCs w:val="15"/>
                <w:highlight w:val="none"/>
                <w:vertAlign w:val="baseline"/>
                <w:lang w:val="en-US" w:eastAsia="zh-CN" w:bidi="ar-SA"/>
              </w:rPr>
              <w:t>★25、可无缝接入江苏省消防救援总队互联网图像管理平台和部局图像综合管理平台。"</w:t>
            </w:r>
          </w:p>
        </w:tc>
        <w:tc>
          <w:tcPr>
            <w:tcW w:w="1045" w:type="dxa"/>
            <w:vAlign w:val="center"/>
          </w:tcPr>
          <w:p w14:paraId="5E587B94">
            <w:pPr>
              <w:keepNext w:val="0"/>
              <w:keepLines w:val="0"/>
              <w:pageBreakBefore w:val="0"/>
              <w:widowControl/>
              <w:suppressLineNumbers w:val="0"/>
              <w:kinsoku/>
              <w:wordWrap/>
              <w:overflowPunct/>
              <w:topLinePunct w:val="0"/>
              <w:autoSpaceDE/>
              <w:autoSpaceDN/>
              <w:bidi w:val="0"/>
              <w:adjustRightInd/>
              <w:snapToGrid w:val="0"/>
              <w:spacing w:line="240" w:lineRule="auto"/>
              <w:jc w:val="center"/>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4</w:t>
            </w:r>
          </w:p>
        </w:tc>
        <w:tc>
          <w:tcPr>
            <w:tcW w:w="1060" w:type="dxa"/>
            <w:vAlign w:val="center"/>
          </w:tcPr>
          <w:p w14:paraId="47111346">
            <w:pPr>
              <w:pStyle w:val="8"/>
              <w:keepNext w:val="0"/>
              <w:keepLines w:val="0"/>
              <w:pageBreakBefore w:val="0"/>
              <w:kinsoku/>
              <w:wordWrap/>
              <w:overflowPunct/>
              <w:topLinePunct w:val="0"/>
              <w:autoSpaceDE/>
              <w:autoSpaceDN/>
              <w:bidi w:val="0"/>
              <w:adjustRightInd/>
              <w:snapToGrid w:val="0"/>
              <w:spacing w:beforeAutospacing="0" w:afterAutospacing="0" w:line="240" w:lineRule="auto"/>
              <w:jc w:val="center"/>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工业</w:t>
            </w:r>
          </w:p>
        </w:tc>
      </w:tr>
    </w:tbl>
    <w:p w14:paraId="46108CD8">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default" w:ascii="宋体" w:hAnsi="宋体" w:eastAsia="宋体" w:cs="宋体"/>
          <w:color w:val="000000"/>
          <w:sz w:val="24"/>
          <w:szCs w:val="24"/>
          <w:highlight w:val="none"/>
        </w:rPr>
      </w:pPr>
      <w:bookmarkStart w:id="197" w:name="_Toc184145593"/>
      <w:bookmarkStart w:id="198" w:name="_Toc211901916"/>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合同</w:t>
      </w:r>
      <w:bookmarkStart w:id="199" w:name="履行期限"/>
      <w:r>
        <w:rPr>
          <w:rFonts w:hint="eastAsia" w:ascii="宋体" w:hAnsi="宋体" w:eastAsia="宋体" w:cs="宋体"/>
          <w:color w:val="000000"/>
          <w:sz w:val="24"/>
          <w:szCs w:val="24"/>
          <w:highlight w:val="none"/>
        </w:rPr>
        <w:t>履行期限</w:t>
      </w:r>
      <w:bookmarkEnd w:id="197"/>
      <w:bookmarkEnd w:id="198"/>
    </w:p>
    <w:p w14:paraId="4D36AB25">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合同履行期限：合同签订后</w:t>
      </w:r>
      <w:r>
        <w:rPr>
          <w:rFonts w:hint="eastAsia" w:ascii="宋体" w:hAnsi="宋体" w:eastAsia="宋体" w:cs="宋体"/>
          <w:color w:val="000000"/>
          <w:sz w:val="24"/>
          <w:szCs w:val="24"/>
          <w:highlight w:val="none"/>
          <w:u w:val="single"/>
          <w:lang w:val="en-US" w:eastAsia="zh-CN"/>
        </w:rPr>
        <w:t xml:space="preserve"> 30 </w:t>
      </w:r>
      <w:r>
        <w:rPr>
          <w:rFonts w:hint="eastAsia" w:ascii="宋体" w:hAnsi="宋体" w:eastAsia="宋体" w:cs="宋体"/>
          <w:color w:val="000000"/>
          <w:sz w:val="24"/>
          <w:szCs w:val="24"/>
          <w:highlight w:val="none"/>
        </w:rPr>
        <w:t>日历天内货物全部送达招标人指定位置且安装、调试完毕，并确保正常稳定运行。</w:t>
      </w:r>
      <w:bookmarkEnd w:id="199"/>
      <w:r>
        <w:rPr>
          <w:rFonts w:hint="eastAsia" w:ascii="宋体" w:hAnsi="宋体" w:eastAsia="宋体" w:cs="宋体"/>
          <w:color w:val="000000"/>
          <w:sz w:val="24"/>
          <w:szCs w:val="24"/>
          <w:highlight w:val="none"/>
        </w:rPr>
        <w:t xml:space="preserve">          </w:t>
      </w:r>
    </w:p>
    <w:p w14:paraId="758B8475">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default" w:ascii="宋体" w:hAnsi="宋体" w:eastAsia="宋体" w:cs="宋体"/>
          <w:color w:val="000000"/>
          <w:sz w:val="24"/>
          <w:szCs w:val="24"/>
          <w:highlight w:val="none"/>
        </w:rPr>
      </w:pPr>
      <w:bookmarkStart w:id="200" w:name="_Toc211901917"/>
      <w:bookmarkStart w:id="201" w:name="_Toc184145594"/>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质量要求</w:t>
      </w:r>
      <w:bookmarkEnd w:id="200"/>
      <w:bookmarkEnd w:id="201"/>
    </w:p>
    <w:p w14:paraId="3F8A7E03">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产品为全新未使用过的原装合格正品，产品及安装</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如需要</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质量要符合国家质量检测标准,安装质量满足相关法律法规及规范的要求，并满足招标人的实际使用需求。</w:t>
      </w:r>
    </w:p>
    <w:p w14:paraId="3D65D255">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default" w:ascii="宋体" w:hAnsi="宋体" w:eastAsia="宋体" w:cs="宋体"/>
          <w:color w:val="000000"/>
          <w:sz w:val="24"/>
          <w:szCs w:val="24"/>
          <w:highlight w:val="none"/>
        </w:rPr>
      </w:pPr>
      <w:bookmarkStart w:id="202" w:name="_Toc211901918"/>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六</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服务要求</w:t>
      </w:r>
      <w:bookmarkEnd w:id="202"/>
    </w:p>
    <w:p w14:paraId="691481B7">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1.在质保保证期内，中标人为用户提供7*24小时电话或电子邮件服务，响应时间不超过</w:t>
      </w:r>
      <w:r>
        <w:rPr>
          <w:rFonts w:hint="eastAsia" w:ascii="宋体" w:hAnsi="宋体" w:eastAsia="宋体" w:cs="宋体"/>
          <w:color w:val="000000"/>
          <w:sz w:val="24"/>
          <w:szCs w:val="24"/>
          <w:highlight w:val="none"/>
          <w:u w:val="single"/>
          <w:lang w:val="en-US" w:eastAsia="zh-CN"/>
        </w:rPr>
        <w:t xml:space="preserve"> 120 </w:t>
      </w:r>
      <w:r>
        <w:rPr>
          <w:rFonts w:hint="eastAsia" w:ascii="宋体" w:hAnsi="宋体" w:eastAsia="宋体" w:cs="宋体"/>
          <w:color w:val="000000"/>
          <w:sz w:val="24"/>
          <w:szCs w:val="24"/>
          <w:highlight w:val="none"/>
        </w:rPr>
        <w:t>分钟，</w:t>
      </w:r>
      <w:r>
        <w:rPr>
          <w:rFonts w:hint="eastAsia" w:ascii="宋体" w:hAnsi="宋体" w:eastAsia="宋体" w:cs="宋体"/>
          <w:color w:val="000000"/>
          <w:sz w:val="24"/>
          <w:szCs w:val="24"/>
          <w:highlight w:val="none"/>
          <w:u w:val="single"/>
          <w:lang w:val="en-US" w:eastAsia="zh-CN"/>
        </w:rPr>
        <w:t xml:space="preserve"> 6 </w:t>
      </w:r>
      <w:r>
        <w:rPr>
          <w:rFonts w:hint="eastAsia" w:ascii="宋体" w:hAnsi="宋体" w:eastAsia="宋体" w:cs="宋体"/>
          <w:color w:val="000000"/>
          <w:sz w:val="24"/>
          <w:szCs w:val="24"/>
          <w:highlight w:val="none"/>
        </w:rPr>
        <w:t>小时内远程排除故障，若电话或网络中无法排除故障，维修人员须</w:t>
      </w:r>
      <w:r>
        <w:rPr>
          <w:rFonts w:hint="eastAsia" w:ascii="宋体" w:hAnsi="宋体" w:eastAsia="宋体" w:cs="宋体"/>
          <w:color w:val="000000"/>
          <w:sz w:val="24"/>
          <w:szCs w:val="24"/>
          <w:highlight w:val="none"/>
          <w:u w:val="single"/>
          <w:lang w:val="en-US" w:eastAsia="zh-CN"/>
        </w:rPr>
        <w:t xml:space="preserve"> 12 </w:t>
      </w:r>
      <w:r>
        <w:rPr>
          <w:rFonts w:hint="eastAsia" w:ascii="宋体" w:hAnsi="宋体" w:eastAsia="宋体" w:cs="宋体"/>
          <w:color w:val="000000"/>
          <w:sz w:val="24"/>
          <w:szCs w:val="24"/>
          <w:highlight w:val="none"/>
        </w:rPr>
        <w:t>小时内到达现场解决，到达现场后</w:t>
      </w:r>
      <w:r>
        <w:rPr>
          <w:rFonts w:hint="eastAsia" w:ascii="宋体" w:hAnsi="宋体" w:eastAsia="宋体" w:cs="宋体"/>
          <w:color w:val="000000"/>
          <w:sz w:val="24"/>
          <w:szCs w:val="24"/>
          <w:highlight w:val="none"/>
          <w:u w:val="single"/>
          <w:lang w:val="en-US" w:eastAsia="zh-CN"/>
        </w:rPr>
        <w:t xml:space="preserve"> 12 </w:t>
      </w:r>
      <w:r>
        <w:rPr>
          <w:rFonts w:hint="eastAsia" w:ascii="宋体" w:hAnsi="宋体" w:eastAsia="宋体" w:cs="宋体"/>
          <w:color w:val="000000"/>
          <w:sz w:val="24"/>
          <w:szCs w:val="24"/>
          <w:highlight w:val="none"/>
        </w:rPr>
        <w:t>小时内免费修复；无法修复时</w:t>
      </w:r>
      <w:r>
        <w:rPr>
          <w:rFonts w:hint="eastAsia" w:ascii="宋体" w:hAnsi="宋体" w:eastAsia="宋体" w:cs="宋体"/>
          <w:color w:val="000000"/>
          <w:sz w:val="24"/>
          <w:szCs w:val="24"/>
          <w:highlight w:val="none"/>
          <w:u w:val="single"/>
          <w:lang w:val="en-US" w:eastAsia="zh-CN"/>
        </w:rPr>
        <w:t xml:space="preserve"> 2 </w:t>
      </w:r>
      <w:r>
        <w:rPr>
          <w:rFonts w:hint="eastAsia" w:ascii="宋体" w:hAnsi="宋体" w:eastAsia="宋体" w:cs="宋体"/>
          <w:color w:val="000000"/>
          <w:sz w:val="24"/>
          <w:szCs w:val="24"/>
          <w:highlight w:val="none"/>
        </w:rPr>
        <w:t>日内免费更换配件，维修至正常工作，并保证所换配件满足招标文件要求，如</w:t>
      </w:r>
      <w:r>
        <w:rPr>
          <w:rFonts w:hint="eastAsia" w:ascii="宋体" w:hAnsi="宋体" w:eastAsia="宋体" w:cs="宋体"/>
          <w:color w:val="000000"/>
          <w:sz w:val="24"/>
          <w:szCs w:val="24"/>
          <w:highlight w:val="none"/>
          <w:u w:val="single"/>
          <w:lang w:val="en-US" w:eastAsia="zh-CN"/>
        </w:rPr>
        <w:t xml:space="preserve"> 24 </w:t>
      </w:r>
      <w:r>
        <w:rPr>
          <w:rFonts w:hint="eastAsia" w:ascii="宋体" w:hAnsi="宋体" w:eastAsia="宋体" w:cs="宋体"/>
          <w:color w:val="000000"/>
          <w:sz w:val="24"/>
          <w:szCs w:val="24"/>
          <w:highlight w:val="none"/>
        </w:rPr>
        <w:t>小时内不能到位的，采购人有权自行维修或更换配件，其费用在中标人合同余款中扣除，且另按500元／天从合同余款中扣除违约金，直至本次维修项通过验收。</w:t>
      </w:r>
    </w:p>
    <w:p w14:paraId="64DCD191">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2.质量保证期满后，供应商和厂家应同样提供免费电话咨询服务，并以优惠价格提供售后服务；</w:t>
      </w:r>
    </w:p>
    <w:p w14:paraId="3FB40602">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3.所投产品厂家提供不少于</w:t>
      </w:r>
      <w:r>
        <w:rPr>
          <w:rFonts w:hint="eastAsia" w:ascii="宋体" w:hAnsi="宋体" w:eastAsia="宋体" w:cs="宋体"/>
          <w:color w:val="000000"/>
          <w:sz w:val="24"/>
          <w:szCs w:val="24"/>
          <w:highlight w:val="none"/>
          <w:u w:val="single"/>
          <w:lang w:val="en-US" w:eastAsia="zh-CN"/>
        </w:rPr>
        <w:t xml:space="preserve"> 3 </w:t>
      </w:r>
      <w:r>
        <w:rPr>
          <w:rFonts w:hint="eastAsia" w:ascii="宋体" w:hAnsi="宋体" w:eastAsia="宋体" w:cs="宋体"/>
          <w:color w:val="000000"/>
          <w:sz w:val="24"/>
          <w:szCs w:val="24"/>
          <w:highlight w:val="none"/>
        </w:rPr>
        <w:t>次的免费培训。</w:t>
      </w:r>
    </w:p>
    <w:p w14:paraId="3C11D9CA">
      <w:pPr>
        <w:pStyle w:val="8"/>
        <w:keepNext w:val="0"/>
        <w:keepLines w:val="0"/>
        <w:pageBreakBefore w:val="0"/>
        <w:widowControl w:val="0"/>
        <w:kinsoku/>
        <w:wordWrap/>
        <w:overflowPunct/>
        <w:topLinePunct w:val="0"/>
        <w:autoSpaceDE/>
        <w:autoSpaceDN/>
        <w:bidi w:val="0"/>
        <w:adjustRightInd/>
        <w:snapToGrid/>
        <w:spacing w:beforeAutospacing="0" w:afterAutospacing="0"/>
        <w:ind w:firstLine="480" w:firstLineChars="20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w:t>
      </w:r>
      <w:r>
        <w:rPr>
          <w:rFonts w:hint="eastAsia" w:ascii="宋体" w:hAnsi="宋体" w:eastAsia="宋体" w:cs="宋体"/>
          <w:i w:val="0"/>
          <w:iCs/>
          <w:color w:val="auto"/>
          <w:sz w:val="24"/>
          <w:szCs w:val="24"/>
          <w:highlight w:val="none"/>
          <w:u w:val="none"/>
          <w:shd w:val="clear" w:color="auto" w:fill="auto"/>
          <w:lang w:val="en-US" w:eastAsia="zh-CN"/>
        </w:rPr>
        <w:t>七</w:t>
      </w:r>
      <w:r>
        <w:rPr>
          <w:rFonts w:hint="eastAsia" w:ascii="宋体" w:hAnsi="宋体" w:eastAsia="宋体" w:cs="宋体"/>
          <w:i w:val="0"/>
          <w:iCs/>
          <w:color w:val="auto"/>
          <w:sz w:val="24"/>
          <w:szCs w:val="24"/>
          <w:highlight w:val="none"/>
          <w:u w:val="none"/>
          <w:shd w:val="clear" w:color="auto" w:fill="auto"/>
          <w:lang w:eastAsia="zh-CN"/>
        </w:rPr>
        <w:t>）</w:t>
      </w:r>
      <w:r>
        <w:rPr>
          <w:rFonts w:hint="eastAsia" w:ascii="宋体" w:hAnsi="宋体" w:eastAsia="宋体" w:cs="宋体"/>
          <w:i w:val="0"/>
          <w:iCs/>
          <w:color w:val="auto"/>
          <w:sz w:val="24"/>
          <w:szCs w:val="24"/>
          <w:highlight w:val="none"/>
          <w:u w:val="none"/>
          <w:shd w:val="clear" w:color="auto" w:fill="auto"/>
        </w:rPr>
        <w:t>本项目</w:t>
      </w:r>
      <w:r>
        <w:rPr>
          <w:rFonts w:hint="eastAsia" w:ascii="宋体" w:hAnsi="宋体" w:eastAsia="宋体" w:cs="宋体"/>
          <w:i w:val="0"/>
          <w:iCs/>
          <w:color w:val="auto"/>
          <w:sz w:val="24"/>
          <w:szCs w:val="24"/>
          <w:highlight w:val="none"/>
          <w:u w:val="none"/>
          <w:shd w:val="clear" w:color="auto" w:fill="auto"/>
          <w:lang w:val="en-US" w:eastAsia="zh-CN"/>
        </w:rPr>
        <w:t>所有包均</w:t>
      </w:r>
      <w:r>
        <w:rPr>
          <w:rFonts w:hint="eastAsia" w:ascii="宋体" w:hAnsi="宋体" w:eastAsia="宋体" w:cs="宋体"/>
          <w:i w:val="0"/>
          <w:iCs/>
          <w:color w:val="auto"/>
          <w:sz w:val="24"/>
          <w:szCs w:val="24"/>
          <w:highlight w:val="none"/>
          <w:u w:val="none"/>
          <w:shd w:val="clear" w:color="auto" w:fill="auto"/>
        </w:rPr>
        <w:t>不接受进口产品投标</w:t>
      </w:r>
    </w:p>
    <w:p w14:paraId="71749AB4">
      <w:pPr>
        <w:pStyle w:val="8"/>
        <w:keepNext w:val="0"/>
        <w:keepLines w:val="0"/>
        <w:pageBreakBefore w:val="0"/>
        <w:widowControl w:val="0"/>
        <w:kinsoku/>
        <w:wordWrap/>
        <w:overflowPunct/>
        <w:topLinePunct w:val="0"/>
        <w:autoSpaceDE/>
        <w:autoSpaceDN/>
        <w:bidi w:val="0"/>
        <w:adjustRightInd/>
        <w:snapToGrid/>
        <w:spacing w:beforeAutospacing="0" w:afterAutospacing="0" w:line="0" w:lineRule="atLeast"/>
        <w:ind w:firstLine="480" w:firstLineChars="20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w:t>
      </w:r>
      <w:r>
        <w:rPr>
          <w:rFonts w:hint="eastAsia" w:ascii="宋体" w:hAnsi="宋体" w:eastAsia="宋体" w:cs="宋体"/>
          <w:i w:val="0"/>
          <w:iCs/>
          <w:color w:val="auto"/>
          <w:sz w:val="24"/>
          <w:szCs w:val="24"/>
          <w:highlight w:val="none"/>
          <w:u w:val="none"/>
          <w:shd w:val="clear" w:color="auto" w:fill="auto"/>
          <w:lang w:val="en-US" w:eastAsia="zh-CN"/>
        </w:rPr>
        <w:t>八</w:t>
      </w:r>
      <w:r>
        <w:rPr>
          <w:rFonts w:hint="eastAsia" w:ascii="宋体" w:hAnsi="宋体" w:eastAsia="宋体" w:cs="宋体"/>
          <w:i w:val="0"/>
          <w:iCs/>
          <w:color w:val="auto"/>
          <w:sz w:val="24"/>
          <w:szCs w:val="24"/>
          <w:highlight w:val="none"/>
          <w:u w:val="none"/>
          <w:shd w:val="clear" w:color="auto" w:fill="auto"/>
          <w:lang w:eastAsia="zh-CN"/>
        </w:rPr>
        <w:t>）</w:t>
      </w:r>
      <w:r>
        <w:rPr>
          <w:rFonts w:hint="eastAsia" w:ascii="宋体" w:hAnsi="宋体" w:eastAsia="宋体" w:cs="宋体"/>
          <w:i w:val="0"/>
          <w:iCs/>
          <w:color w:val="auto"/>
          <w:sz w:val="24"/>
          <w:szCs w:val="24"/>
          <w:highlight w:val="none"/>
          <w:u w:val="none"/>
          <w:shd w:val="clear" w:color="auto" w:fill="auto"/>
        </w:rPr>
        <w:t>采购标的对应的中小企业划分标准所属行业一览表</w:t>
      </w:r>
    </w:p>
    <w:tbl>
      <w:tblPr>
        <w:tblStyle w:val="9"/>
        <w:tblW w:w="8274" w:type="dxa"/>
        <w:jc w:val="center"/>
        <w:tblCellSpacing w:w="0" w:type="dxa"/>
        <w:tblLayout w:type="fixed"/>
        <w:tblCellMar>
          <w:top w:w="0" w:type="dxa"/>
          <w:left w:w="108" w:type="dxa"/>
          <w:bottom w:w="0" w:type="dxa"/>
          <w:right w:w="108" w:type="dxa"/>
        </w:tblCellMar>
      </w:tblPr>
      <w:tblGrid>
        <w:gridCol w:w="1488"/>
        <w:gridCol w:w="3739"/>
        <w:gridCol w:w="3047"/>
      </w:tblGrid>
      <w:tr w14:paraId="5C81A8F1">
        <w:tblPrEx>
          <w:tblCellMar>
            <w:top w:w="0" w:type="dxa"/>
            <w:left w:w="108" w:type="dxa"/>
            <w:bottom w:w="0" w:type="dxa"/>
            <w:right w:w="108" w:type="dxa"/>
          </w:tblCellMar>
        </w:tblPrEx>
        <w:trPr>
          <w:tblCellSpacing w:w="0" w:type="dxa"/>
          <w:jc w:val="center"/>
        </w:trPr>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A2AB">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3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C582">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3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D801">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4A6ABC60">
        <w:tblPrEx>
          <w:tblCellMar>
            <w:top w:w="0" w:type="dxa"/>
            <w:left w:w="108" w:type="dxa"/>
            <w:bottom w:w="0" w:type="dxa"/>
            <w:right w:w="108" w:type="dxa"/>
          </w:tblCellMar>
        </w:tblPrEx>
        <w:trPr>
          <w:trHeight w:val="291" w:hRule="atLeast"/>
          <w:tblCellSpacing w:w="0" w:type="dxa"/>
          <w:jc w:val="center"/>
        </w:trPr>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8038">
            <w:pPr>
              <w:pStyle w:val="8"/>
              <w:spacing w:beforeAutospacing="0" w:afterAutospacing="0" w:line="0" w:lineRule="atLeas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3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54B3">
            <w:pPr>
              <w:pStyle w:val="22"/>
              <w:ind w:firstLine="0" w:firstLineChars="0"/>
              <w:rPr>
                <w:rFonts w:hint="eastAsia" w:ascii="宋体" w:hAnsi="宋体" w:eastAsia="宋体" w:cs="宋体"/>
                <w:color w:val="auto"/>
                <w:sz w:val="24"/>
                <w:szCs w:val="24"/>
                <w:highlight w:val="none"/>
                <w:shd w:val="clear" w:color="auto" w:fill="auto"/>
              </w:rPr>
            </w:pPr>
            <w:r>
              <w:rPr>
                <w:rFonts w:hint="eastAsia"/>
              </w:rPr>
              <w:t>详见本章</w:t>
            </w:r>
            <w:r>
              <w:rPr>
                <w:rFonts w:hint="eastAsia" w:cs="仿宋"/>
              </w:rPr>
              <w:t>采购清单</w:t>
            </w:r>
          </w:p>
        </w:tc>
        <w:tc>
          <w:tcPr>
            <w:tcW w:w="30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A423">
            <w:pPr>
              <w:pStyle w:val="22"/>
              <w:ind w:firstLine="0" w:firstLineChars="0"/>
              <w:rPr>
                <w:rFonts w:hint="eastAsia" w:ascii="宋体" w:hAnsi="宋体" w:eastAsia="宋体" w:cs="宋体"/>
                <w:color w:val="auto"/>
                <w:sz w:val="24"/>
                <w:szCs w:val="24"/>
                <w:highlight w:val="none"/>
                <w:shd w:val="clear" w:color="auto" w:fill="auto"/>
              </w:rPr>
            </w:pPr>
            <w:r>
              <w:rPr>
                <w:rFonts w:hint="eastAsia"/>
              </w:rPr>
              <w:t>详见本章</w:t>
            </w:r>
            <w:r>
              <w:rPr>
                <w:rFonts w:hint="eastAsia" w:cs="仿宋"/>
              </w:rPr>
              <w:t>采购清单</w:t>
            </w:r>
          </w:p>
        </w:tc>
      </w:tr>
    </w:tbl>
    <w:p w14:paraId="2E050D1A">
      <w:pPr>
        <w:pStyle w:val="8"/>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6ADDA6C">
      <w:pPr>
        <w:pStyle w:val="8"/>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bookmarkStart w:id="203" w:name="_Toc120614281"/>
    </w:p>
    <w:p w14:paraId="5860DF19">
      <w:pPr>
        <w:pStyle w:val="8"/>
        <w:spacing w:beforeAutospacing="0" w:afterAutospacing="0"/>
        <w:ind w:firstLine="602"/>
        <w:jc w:val="both"/>
        <w:rPr>
          <w:rFonts w:hint="eastAsia" w:ascii="宋体" w:hAnsi="宋体" w:eastAsia="宋体" w:cs="宋体"/>
          <w:sz w:val="24"/>
          <w:szCs w:val="24"/>
          <w:highlight w:val="none"/>
        </w:rPr>
      </w:pPr>
    </w:p>
    <w:p w14:paraId="293BEC76">
      <w:pPr>
        <w:pStyle w:val="8"/>
        <w:spacing w:beforeAutospacing="0" w:afterAutospacing="0"/>
        <w:ind w:firstLine="602"/>
        <w:jc w:val="both"/>
        <w:rPr>
          <w:rFonts w:hint="eastAsia" w:ascii="宋体" w:hAnsi="宋体" w:eastAsia="宋体" w:cs="宋体"/>
          <w:sz w:val="24"/>
          <w:szCs w:val="24"/>
          <w:highlight w:val="none"/>
        </w:rPr>
      </w:pPr>
    </w:p>
    <w:p w14:paraId="3DF395B7">
      <w:pPr>
        <w:pStyle w:val="8"/>
        <w:spacing w:beforeAutospacing="0" w:afterAutospacing="0"/>
        <w:ind w:firstLine="602"/>
        <w:jc w:val="both"/>
        <w:rPr>
          <w:rFonts w:hint="eastAsia" w:ascii="宋体" w:hAnsi="宋体" w:eastAsia="宋体" w:cs="宋体"/>
          <w:sz w:val="24"/>
          <w:szCs w:val="24"/>
          <w:highlight w:val="none"/>
        </w:rPr>
      </w:pPr>
    </w:p>
    <w:p w14:paraId="06C4382E">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4F52B17C">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119DF58E">
      <w:pPr>
        <w:pStyle w:val="8"/>
        <w:spacing w:beforeAutospacing="0" w:afterAutospacing="0"/>
        <w:jc w:val="both"/>
        <w:rPr>
          <w:highlight w:val="none"/>
        </w:rPr>
      </w:pPr>
      <w:r>
        <w:rPr>
          <w:highlight w:val="none"/>
        </w:rPr>
        <w:t> </w:t>
      </w:r>
    </w:p>
    <w:p w14:paraId="668FEA9F">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2A7125E0">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政府采购政策功能落实</w:t>
      </w:r>
    </w:p>
    <w:p w14:paraId="7BAAA33E">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1、小微型企业价格扣除</w:t>
      </w:r>
    </w:p>
    <w:p w14:paraId="187A4FA4">
      <w:pPr>
        <w:pStyle w:val="19"/>
        <w:keepNext w:val="0"/>
        <w:keepLines w:val="0"/>
        <w:pageBreakBefore w:val="0"/>
        <w:widowControl w:val="0"/>
        <w:kinsoku/>
        <w:wordWrap/>
        <w:overflowPunct/>
        <w:topLinePunct w:val="0"/>
        <w:autoSpaceDE/>
        <w:autoSpaceDN/>
        <w:bidi w:val="0"/>
        <w:adjustRightInd/>
        <w:snapToGrid/>
        <w:spacing w:before="0" w:after="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（1）本项目若不专门面向中小企业采购，对</w:t>
      </w:r>
      <w:r>
        <w:rPr>
          <w:rFonts w:hint="eastAsia" w:ascii="宋体" w:hAnsi="宋体" w:eastAsia="宋体" w:cs="宋体"/>
          <w:sz w:val="24"/>
          <w:szCs w:val="24"/>
          <w:highlight w:val="none"/>
          <w:lang w:val="en-US" w:eastAsia="zh-CN"/>
        </w:rPr>
        <w:t>符合规定的</w:t>
      </w:r>
      <w:r>
        <w:rPr>
          <w:rFonts w:hint="eastAsia" w:ascii="宋体" w:hAnsi="宋体" w:eastAsia="宋体" w:cs="宋体"/>
          <w:sz w:val="24"/>
          <w:szCs w:val="24"/>
          <w:highlight w:val="none"/>
        </w:rPr>
        <w:t>小型和微型企业</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给予价格扣除。投标人</w:t>
      </w:r>
      <w:r>
        <w:rPr>
          <w:rFonts w:hint="eastAsia" w:ascii="宋体" w:hAnsi="宋体" w:eastAsia="宋体" w:cs="宋体"/>
          <w:sz w:val="24"/>
          <w:szCs w:val="24"/>
          <w:highlight w:val="none"/>
          <w:lang w:val="en-US" w:eastAsia="zh-CN"/>
        </w:rPr>
        <w:t>如</w:t>
      </w:r>
      <w:r>
        <w:rPr>
          <w:rFonts w:hint="eastAsia" w:ascii="宋体" w:hAnsi="宋体" w:eastAsia="宋体" w:cs="宋体"/>
          <w:sz w:val="24"/>
          <w:szCs w:val="24"/>
          <w:highlight w:val="none"/>
        </w:rPr>
        <w:t>必须为中小微企业（或监狱企业或残疾人福利性单位）</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，不接受非中小微型企业（或监狱企业或残疾人福利性单位）参与本项目投标。</w:t>
      </w:r>
    </w:p>
    <w:p w14:paraId="393B146D">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r>
        <w:rPr>
          <w:rFonts w:hint="eastAsia" w:ascii="宋体" w:hAnsi="宋体" w:eastAsia="宋体" w:cs="宋体"/>
          <w:color w:val="000000"/>
          <w:sz w:val="24"/>
          <w:szCs w:val="24"/>
          <w:highlight w:val="none"/>
        </w:rPr>
        <w:t>》。</w:t>
      </w:r>
    </w:p>
    <w:p w14:paraId="07751C33">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（3）企业标准请参照《关于印发中小企业划型标准规定的通知》（工信部联企业</w:t>
      </w:r>
      <w:r>
        <w:rPr>
          <w:rFonts w:hint="eastAsia" w:ascii="宋体" w:hAnsi="宋体" w:eastAsia="宋体" w:cs="宋体"/>
          <w:color w:val="000000"/>
          <w:sz w:val="24"/>
          <w:szCs w:val="24"/>
          <w:highlight w:val="none"/>
          <w:lang w:eastAsia="zh-CN"/>
        </w:rPr>
        <w:t>〔2011〕300号</w:t>
      </w:r>
      <w:r>
        <w:rPr>
          <w:rFonts w:hint="eastAsia" w:ascii="宋体" w:hAnsi="宋体" w:eastAsia="宋体" w:cs="宋体"/>
          <w:color w:val="000000"/>
          <w:sz w:val="24"/>
          <w:szCs w:val="24"/>
          <w:highlight w:val="none"/>
        </w:rPr>
        <w:t>）文件规定自行填写。</w:t>
      </w:r>
    </w:p>
    <w:p w14:paraId="2DCA9D8F">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2、残疾人福利单位价格扣除</w:t>
      </w:r>
    </w:p>
    <w:p w14:paraId="0E8D4170">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（1）本项目对残疾人福利性单位视同小型、微型企业，给予</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rPr>
        <w:t>的价格扣除</w:t>
      </w:r>
      <w:r>
        <w:rPr>
          <w:rFonts w:hint="eastAsia" w:ascii="宋体" w:hAnsi="宋体" w:eastAsia="宋体" w:cs="宋体"/>
          <w:color w:val="000000"/>
          <w:sz w:val="24"/>
          <w:szCs w:val="24"/>
          <w:highlight w:val="none"/>
          <w:lang w:eastAsia="zh-CN"/>
        </w:rPr>
        <w:t>。</w:t>
      </w:r>
    </w:p>
    <w:p w14:paraId="441B7F16">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（2）残疾人福利单位需按照采购文件的要求提供《残疾人福利性单位声明函》。</w:t>
      </w:r>
    </w:p>
    <w:p w14:paraId="574A996A">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（3）残疾人福利单位标准请参照《关于促进残疾人就业政府采购政策的通知》（财库〔2017〕141号）。</w:t>
      </w:r>
    </w:p>
    <w:p w14:paraId="500E9357">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3、监狱和戒毒企业价格扣除</w:t>
      </w:r>
    </w:p>
    <w:p w14:paraId="78CD3014">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（1）本项目对监狱和戒毒企业（简称监狱企业）视同小型、微型企业，给予</w:t>
      </w:r>
      <w:r>
        <w:rPr>
          <w:rFonts w:hint="eastAsia" w:ascii="宋体" w:hAnsi="宋体" w:eastAsia="宋体" w:cs="宋体"/>
          <w:color w:val="000000"/>
          <w:sz w:val="24"/>
          <w:szCs w:val="24"/>
          <w:highlight w:val="none"/>
          <w:u w:val="single"/>
        </w:rPr>
        <w:t>20%</w:t>
      </w:r>
      <w:r>
        <w:rPr>
          <w:rFonts w:hint="eastAsia" w:ascii="宋体" w:hAnsi="宋体" w:eastAsia="宋体" w:cs="宋体"/>
          <w:color w:val="000000"/>
          <w:sz w:val="24"/>
          <w:szCs w:val="24"/>
          <w:highlight w:val="none"/>
        </w:rPr>
        <w:t>的价格扣除</w:t>
      </w:r>
      <w:r>
        <w:rPr>
          <w:rFonts w:hint="eastAsia" w:ascii="宋体" w:hAnsi="宋体" w:eastAsia="宋体" w:cs="宋体"/>
          <w:color w:val="000000"/>
          <w:sz w:val="24"/>
          <w:szCs w:val="24"/>
          <w:highlight w:val="none"/>
          <w:lang w:eastAsia="zh-CN"/>
        </w:rPr>
        <w:t>。</w:t>
      </w:r>
    </w:p>
    <w:p w14:paraId="759EF746">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36D0F">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（3）监狱企业标准请参照《关于政府采购支持监狱企业发展有关问题的通知》（财库</w:t>
      </w:r>
      <w:r>
        <w:rPr>
          <w:rFonts w:hint="eastAsia" w:ascii="宋体" w:hAnsi="宋体" w:eastAsia="宋体" w:cs="宋体"/>
          <w:color w:val="000000"/>
          <w:sz w:val="24"/>
          <w:szCs w:val="24"/>
          <w:highlight w:val="none"/>
          <w:lang w:eastAsia="zh-CN"/>
        </w:rPr>
        <w:t>〔2014〕68号</w:t>
      </w:r>
      <w:r>
        <w:rPr>
          <w:rFonts w:hint="eastAsia" w:ascii="宋体" w:hAnsi="宋体" w:eastAsia="宋体" w:cs="宋体"/>
          <w:color w:val="000000"/>
          <w:sz w:val="24"/>
          <w:szCs w:val="24"/>
          <w:highlight w:val="none"/>
        </w:rPr>
        <w:t>）。</w:t>
      </w:r>
    </w:p>
    <w:p w14:paraId="5AB6C78C">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4、残疾人福利单位、监狱企业属于小型、微型企业的，不重复享受政策。</w:t>
      </w:r>
    </w:p>
    <w:p w14:paraId="5C8243AF">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6%</w:t>
      </w:r>
      <w:r>
        <w:rPr>
          <w:rFonts w:hint="eastAsia" w:ascii="宋体" w:hAnsi="宋体" w:eastAsia="宋体" w:cs="宋体"/>
          <w:color w:val="000000"/>
          <w:sz w:val="24"/>
          <w:szCs w:val="24"/>
          <w:highlight w:val="none"/>
        </w:rPr>
        <w:t>的价格扣除，用扣除后的价格参与评审。</w:t>
      </w:r>
    </w:p>
    <w:p w14:paraId="4608FE61">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6、联合体各方均为小型、微型企业（残疾人福利单位、监狱企业）的，联合</w:t>
      </w:r>
      <w:r>
        <w:rPr>
          <w:rFonts w:hint="eastAsia" w:ascii="宋体" w:hAnsi="宋体" w:eastAsia="宋体" w:cs="宋体"/>
          <w:color w:val="auto"/>
          <w:sz w:val="24"/>
          <w:szCs w:val="24"/>
          <w:highlight w:val="none"/>
        </w:rPr>
        <w:t>体享受</w:t>
      </w:r>
      <w:r>
        <w:rPr>
          <w:rFonts w:hint="eastAsia" w:ascii="宋体" w:hAnsi="宋体" w:eastAsia="宋体" w:cs="宋体"/>
          <w:color w:val="auto"/>
          <w:sz w:val="24"/>
          <w:szCs w:val="24"/>
          <w:highlight w:val="none"/>
          <w:u w:val="single"/>
        </w:rPr>
        <w:t>20%</w:t>
      </w:r>
      <w:r>
        <w:rPr>
          <w:rFonts w:hint="eastAsia" w:ascii="宋体" w:hAnsi="宋体" w:eastAsia="宋体" w:cs="宋体"/>
          <w:color w:val="000000"/>
          <w:sz w:val="24"/>
          <w:szCs w:val="24"/>
          <w:highlight w:val="none"/>
        </w:rPr>
        <w:t>的价格扣除</w:t>
      </w:r>
      <w:r>
        <w:rPr>
          <w:rFonts w:hint="eastAsia" w:ascii="宋体" w:hAnsi="宋体" w:eastAsia="宋体" w:cs="宋体"/>
          <w:color w:val="000000"/>
          <w:sz w:val="24"/>
          <w:szCs w:val="24"/>
          <w:highlight w:val="none"/>
          <w:lang w:eastAsia="zh-CN"/>
        </w:rPr>
        <w:t>。</w:t>
      </w:r>
    </w:p>
    <w:p w14:paraId="74DDDC1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7DBBC5D1">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评标方法与评标标准</w:t>
      </w:r>
    </w:p>
    <w:tbl>
      <w:tblPr>
        <w:tblStyle w:val="9"/>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1392"/>
        <w:gridCol w:w="1203"/>
        <w:gridCol w:w="5987"/>
      </w:tblGrid>
      <w:tr w14:paraId="2370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55" w:type="dxa"/>
            <w:noWrap w:val="0"/>
            <w:vAlign w:val="center"/>
          </w:tcPr>
          <w:p w14:paraId="3F5837F6">
            <w:pPr>
              <w:keepNext w:val="0"/>
              <w:keepLines w:val="0"/>
              <w:pageBreakBefore w:val="0"/>
              <w:widowControl w:val="0"/>
              <w:kinsoku/>
              <w:wordWrap/>
              <w:overflowPunct/>
              <w:topLinePunct w:val="0"/>
              <w:autoSpaceDE/>
              <w:autoSpaceDN/>
              <w:bidi w:val="0"/>
              <w:adjustRightInd/>
              <w:snapToGrid w:val="0"/>
              <w:spacing w:line="288" w:lineRule="auto"/>
              <w:ind w:firstLine="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1392" w:type="dxa"/>
            <w:noWrap w:val="0"/>
            <w:vAlign w:val="center"/>
          </w:tcPr>
          <w:p w14:paraId="34366880">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评审</w:t>
            </w:r>
          </w:p>
          <w:p w14:paraId="6DA0420E">
            <w:pPr>
              <w:keepNext w:val="0"/>
              <w:keepLines w:val="0"/>
              <w:pageBreakBefore w:val="0"/>
              <w:widowControl w:val="0"/>
              <w:kinsoku/>
              <w:wordWrap/>
              <w:overflowPunct/>
              <w:topLinePunct w:val="0"/>
              <w:autoSpaceDE/>
              <w:autoSpaceDN/>
              <w:bidi w:val="0"/>
              <w:adjustRightInd/>
              <w:snapToGrid w:val="0"/>
              <w:spacing w:line="240" w:lineRule="auto"/>
              <w:ind w:firstLine="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因素</w:t>
            </w:r>
          </w:p>
        </w:tc>
        <w:tc>
          <w:tcPr>
            <w:tcW w:w="1203" w:type="dxa"/>
            <w:noWrap w:val="0"/>
            <w:vAlign w:val="center"/>
          </w:tcPr>
          <w:p w14:paraId="308BB81B">
            <w:pPr>
              <w:keepNext w:val="0"/>
              <w:keepLines w:val="0"/>
              <w:pageBreakBefore w:val="0"/>
              <w:widowControl w:val="0"/>
              <w:kinsoku/>
              <w:wordWrap/>
              <w:overflowPunct/>
              <w:topLinePunct w:val="0"/>
              <w:autoSpaceDE/>
              <w:autoSpaceDN/>
              <w:bidi w:val="0"/>
              <w:adjustRightInd/>
              <w:snapToGrid w:val="0"/>
              <w:spacing w:line="288" w:lineRule="auto"/>
              <w:ind w:firstLine="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分值权重</w:t>
            </w:r>
          </w:p>
        </w:tc>
        <w:tc>
          <w:tcPr>
            <w:tcW w:w="5987" w:type="dxa"/>
            <w:noWrap w:val="0"/>
            <w:vAlign w:val="center"/>
          </w:tcPr>
          <w:p w14:paraId="01512ED4">
            <w:pPr>
              <w:keepNext w:val="0"/>
              <w:keepLines w:val="0"/>
              <w:pageBreakBefore w:val="0"/>
              <w:widowControl w:val="0"/>
              <w:kinsoku/>
              <w:wordWrap/>
              <w:overflowPunct/>
              <w:topLinePunct w:val="0"/>
              <w:autoSpaceDE/>
              <w:autoSpaceDN/>
              <w:bidi w:val="0"/>
              <w:adjustRightInd/>
              <w:snapToGrid w:val="0"/>
              <w:spacing w:line="288" w:lineRule="auto"/>
              <w:ind w:firstLine="40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评分标准</w:t>
            </w:r>
          </w:p>
        </w:tc>
      </w:tr>
      <w:tr w14:paraId="677D9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755" w:type="dxa"/>
            <w:noWrap w:val="0"/>
            <w:vAlign w:val="center"/>
          </w:tcPr>
          <w:p w14:paraId="439D3AE6">
            <w:pPr>
              <w:keepNext w:val="0"/>
              <w:keepLines w:val="0"/>
              <w:pageBreakBefore w:val="0"/>
              <w:widowControl w:val="0"/>
              <w:kinsoku/>
              <w:wordWrap/>
              <w:overflowPunct/>
              <w:topLinePunct w:val="0"/>
              <w:autoSpaceDE/>
              <w:autoSpaceDN/>
              <w:bidi w:val="0"/>
              <w:adjustRightInd/>
              <w:snapToGrid w:val="0"/>
              <w:spacing w:after="0" w:line="288" w:lineRule="auto"/>
              <w:ind w:firstLine="220"/>
              <w:jc w:val="both"/>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1</w:t>
            </w:r>
          </w:p>
        </w:tc>
        <w:tc>
          <w:tcPr>
            <w:tcW w:w="1392" w:type="dxa"/>
            <w:noWrap w:val="0"/>
            <w:vAlign w:val="center"/>
          </w:tcPr>
          <w:p w14:paraId="08D759CA">
            <w:pPr>
              <w:keepNext w:val="0"/>
              <w:keepLines w:val="0"/>
              <w:pageBreakBefore w:val="0"/>
              <w:widowControl w:val="0"/>
              <w:kinsoku/>
              <w:wordWrap/>
              <w:overflowPunct/>
              <w:topLinePunct w:val="0"/>
              <w:autoSpaceDE/>
              <w:autoSpaceDN/>
              <w:bidi w:val="0"/>
              <w:adjustRightInd/>
              <w:snapToGrid w:val="0"/>
              <w:spacing w:after="0" w:line="288" w:lineRule="auto"/>
              <w:jc w:val="center"/>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投标报价</w:t>
            </w:r>
          </w:p>
        </w:tc>
        <w:tc>
          <w:tcPr>
            <w:tcW w:w="1203" w:type="dxa"/>
            <w:noWrap w:val="0"/>
            <w:vAlign w:val="center"/>
          </w:tcPr>
          <w:p w14:paraId="2491BF11">
            <w:pPr>
              <w:keepNext w:val="0"/>
              <w:keepLines w:val="0"/>
              <w:pageBreakBefore w:val="0"/>
              <w:widowControl w:val="0"/>
              <w:kinsoku/>
              <w:wordWrap/>
              <w:overflowPunct/>
              <w:topLinePunct w:val="0"/>
              <w:autoSpaceDE/>
              <w:autoSpaceDN/>
              <w:bidi w:val="0"/>
              <w:adjustRightInd/>
              <w:snapToGrid w:val="0"/>
              <w:spacing w:after="0" w:line="288" w:lineRule="auto"/>
              <w:ind w:firstLine="220"/>
              <w:jc w:val="both"/>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30分</w:t>
            </w:r>
          </w:p>
        </w:tc>
        <w:tc>
          <w:tcPr>
            <w:tcW w:w="5987" w:type="dxa"/>
            <w:noWrap w:val="0"/>
            <w:vAlign w:val="center"/>
          </w:tcPr>
          <w:p w14:paraId="404EE115">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满足招标文件要求且投标报价最低的投标报价为评审基准价，其价格分为满分。其他投标人的价格分统一按照下列公式计算：投标报价得分＝（评审基准价／投标报价）*30 分。</w:t>
            </w:r>
          </w:p>
        </w:tc>
      </w:tr>
      <w:tr w14:paraId="64237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55" w:type="dxa"/>
            <w:noWrap w:val="0"/>
            <w:vAlign w:val="center"/>
          </w:tcPr>
          <w:p w14:paraId="7173E7AB">
            <w:pPr>
              <w:keepNext w:val="0"/>
              <w:keepLines w:val="0"/>
              <w:pageBreakBefore w:val="0"/>
              <w:widowControl w:val="0"/>
              <w:kinsoku/>
              <w:wordWrap/>
              <w:overflowPunct/>
              <w:topLinePunct w:val="0"/>
              <w:autoSpaceDE/>
              <w:autoSpaceDN/>
              <w:bidi w:val="0"/>
              <w:adjustRightInd/>
              <w:snapToGrid w:val="0"/>
              <w:spacing w:after="0" w:line="288" w:lineRule="auto"/>
              <w:ind w:firstLine="220"/>
              <w:jc w:val="both"/>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2</w:t>
            </w:r>
          </w:p>
        </w:tc>
        <w:tc>
          <w:tcPr>
            <w:tcW w:w="1392" w:type="dxa"/>
            <w:noWrap w:val="0"/>
            <w:vAlign w:val="center"/>
          </w:tcPr>
          <w:p w14:paraId="061ECD3A">
            <w:pPr>
              <w:keepNext w:val="0"/>
              <w:keepLines w:val="0"/>
              <w:pageBreakBefore w:val="0"/>
              <w:widowControl w:val="0"/>
              <w:kinsoku/>
              <w:wordWrap/>
              <w:overflowPunct/>
              <w:topLinePunct w:val="0"/>
              <w:autoSpaceDE/>
              <w:autoSpaceDN/>
              <w:bidi w:val="0"/>
              <w:adjustRightInd/>
              <w:snapToGrid w:val="0"/>
              <w:spacing w:after="0" w:line="288" w:lineRule="auto"/>
              <w:jc w:val="center"/>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业 绩</w:t>
            </w:r>
          </w:p>
        </w:tc>
        <w:tc>
          <w:tcPr>
            <w:tcW w:w="1203" w:type="dxa"/>
            <w:noWrap w:val="0"/>
            <w:vAlign w:val="center"/>
          </w:tcPr>
          <w:p w14:paraId="25C28184">
            <w:pPr>
              <w:keepNext w:val="0"/>
              <w:keepLines w:val="0"/>
              <w:pageBreakBefore w:val="0"/>
              <w:widowControl w:val="0"/>
              <w:kinsoku/>
              <w:wordWrap/>
              <w:overflowPunct/>
              <w:topLinePunct w:val="0"/>
              <w:autoSpaceDE/>
              <w:autoSpaceDN/>
              <w:bidi w:val="0"/>
              <w:adjustRightInd/>
              <w:snapToGrid w:val="0"/>
              <w:spacing w:after="0" w:line="288" w:lineRule="auto"/>
              <w:jc w:val="center"/>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6分</w:t>
            </w:r>
          </w:p>
        </w:tc>
        <w:tc>
          <w:tcPr>
            <w:tcW w:w="5987" w:type="dxa"/>
            <w:noWrap w:val="0"/>
            <w:vAlign w:val="center"/>
          </w:tcPr>
          <w:p w14:paraId="3F32A8DE">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1、投标人自2022年12月1日以来（以合同签订时间为准）承担过消防装备器材类似采购项目业绩，每提供一个得2分，本项最高得6分。</w:t>
            </w:r>
          </w:p>
          <w:p w14:paraId="480A42CF">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注：投标时须同时提供合同扫描件，未提供不得分。</w:t>
            </w:r>
          </w:p>
        </w:tc>
      </w:tr>
      <w:tr w14:paraId="23F1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755" w:type="dxa"/>
            <w:noWrap w:val="0"/>
            <w:vAlign w:val="center"/>
          </w:tcPr>
          <w:p w14:paraId="1129EA36">
            <w:pPr>
              <w:keepNext w:val="0"/>
              <w:keepLines w:val="0"/>
              <w:pageBreakBefore w:val="0"/>
              <w:widowControl w:val="0"/>
              <w:kinsoku/>
              <w:wordWrap/>
              <w:overflowPunct/>
              <w:topLinePunct w:val="0"/>
              <w:autoSpaceDE/>
              <w:autoSpaceDN/>
              <w:bidi w:val="0"/>
              <w:adjustRightInd/>
              <w:snapToGrid w:val="0"/>
              <w:spacing w:line="288" w:lineRule="auto"/>
              <w:ind w:firstLine="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1392" w:type="dxa"/>
            <w:noWrap w:val="0"/>
            <w:vAlign w:val="center"/>
          </w:tcPr>
          <w:p w14:paraId="1575B5A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1"/>
                <w:szCs w:val="21"/>
                <w:highlight w:val="none"/>
                <w:lang w:val="zh-CN" w:eastAsia="zh-CN" w:bidi="zh-CN"/>
              </w:rPr>
            </w:pPr>
            <w:r>
              <w:rPr>
                <w:rFonts w:hint="eastAsia" w:ascii="宋体" w:hAnsi="宋体" w:eastAsia="宋体" w:cs="宋体"/>
                <w:b w:val="0"/>
                <w:bCs w:val="0"/>
                <w:color w:val="auto"/>
                <w:sz w:val="21"/>
                <w:szCs w:val="21"/>
                <w:highlight w:val="none"/>
                <w:lang w:val="zh-CN" w:eastAsia="zh-CN" w:bidi="zh-CN"/>
              </w:rPr>
              <w:t>技术参数</w:t>
            </w:r>
          </w:p>
          <w:p w14:paraId="3C9ABA7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1"/>
                <w:szCs w:val="21"/>
                <w:highlight w:val="none"/>
                <w:lang w:val="zh-CN" w:eastAsia="zh-CN" w:bidi="zh-CN"/>
              </w:rPr>
            </w:pPr>
            <w:r>
              <w:rPr>
                <w:rFonts w:hint="eastAsia" w:ascii="宋体" w:hAnsi="宋体" w:eastAsia="宋体" w:cs="宋体"/>
                <w:b w:val="0"/>
                <w:bCs w:val="0"/>
                <w:color w:val="auto"/>
                <w:sz w:val="21"/>
                <w:szCs w:val="21"/>
                <w:highlight w:val="none"/>
                <w:lang w:val="zh-CN" w:eastAsia="zh-CN" w:bidi="zh-CN"/>
              </w:rPr>
              <w:t>响应</w:t>
            </w:r>
          </w:p>
        </w:tc>
        <w:tc>
          <w:tcPr>
            <w:tcW w:w="1203" w:type="dxa"/>
            <w:noWrap w:val="0"/>
            <w:vAlign w:val="center"/>
          </w:tcPr>
          <w:p w14:paraId="49B33283">
            <w:pPr>
              <w:spacing w:line="240" w:lineRule="auto"/>
              <w:ind w:firstLine="0" w:firstLineChars="0"/>
              <w:jc w:val="center"/>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34分</w:t>
            </w:r>
          </w:p>
        </w:tc>
        <w:tc>
          <w:tcPr>
            <w:tcW w:w="5987" w:type="dxa"/>
            <w:noWrap w:val="0"/>
            <w:vAlign w:val="center"/>
          </w:tcPr>
          <w:p w14:paraId="73DF5EC7">
            <w:pPr>
              <w:keepNext w:val="0"/>
              <w:keepLines w:val="0"/>
              <w:pageBreakBefore w:val="0"/>
              <w:widowControl w:val="0"/>
              <w:kinsoku/>
              <w:wordWrap/>
              <w:overflowPunct/>
              <w:topLinePunct w:val="0"/>
              <w:autoSpaceDE/>
              <w:autoSpaceDN/>
              <w:bidi w:val="0"/>
              <w:adjustRightInd/>
              <w:spacing w:line="240" w:lineRule="auto"/>
              <w:ind w:firstLine="420" w:firstLineChars="200"/>
              <w:jc w:val="both"/>
              <w:textAlignment w:val="auto"/>
              <w:rPr>
                <w:rFonts w:hint="eastAsia" w:cs="宋体" w:asciiTheme="minorEastAsia" w:hAnsiTheme="minorEastAsia"/>
                <w:bCs/>
                <w:sz w:val="21"/>
                <w:szCs w:val="21"/>
              </w:rPr>
            </w:pPr>
            <w:r>
              <w:rPr>
                <w:rFonts w:hint="eastAsia" w:cs="宋体" w:asciiTheme="minorEastAsia" w:hAnsiTheme="minorEastAsia"/>
                <w:bCs/>
                <w:sz w:val="21"/>
                <w:szCs w:val="21"/>
              </w:rPr>
              <w:t>本项目技术参数中带“★”（核心参数）、“▲”（重要参数）的技术参数响应性评分按百分比折算方式进行计分。投标人须提供投标产品技术参数与招标文件要求的逐条响应对照表，评委依据对照表并结合投标文件佐证材料，核查投标产品技术参数响应情况。</w:t>
            </w:r>
          </w:p>
          <w:p w14:paraId="2A7E7A17">
            <w:pPr>
              <w:keepNext w:val="0"/>
              <w:keepLines w:val="0"/>
              <w:pageBreakBefore w:val="0"/>
              <w:widowControl w:val="0"/>
              <w:kinsoku/>
              <w:wordWrap/>
              <w:overflowPunct/>
              <w:topLinePunct w:val="0"/>
              <w:autoSpaceDE/>
              <w:autoSpaceDN/>
              <w:bidi w:val="0"/>
              <w:adjustRightInd/>
              <w:spacing w:line="240" w:lineRule="auto"/>
              <w:ind w:firstLine="420" w:firstLineChars="200"/>
              <w:jc w:val="both"/>
              <w:textAlignment w:val="auto"/>
              <w:rPr>
                <w:rFonts w:hint="eastAsia" w:cs="宋体" w:asciiTheme="minorEastAsia" w:hAnsiTheme="minorEastAsia"/>
                <w:bCs/>
                <w:sz w:val="21"/>
                <w:szCs w:val="21"/>
              </w:rPr>
            </w:pPr>
            <w:r>
              <w:rPr>
                <w:rFonts w:hint="eastAsia" w:cs="宋体" w:asciiTheme="minorEastAsia" w:hAnsiTheme="minorEastAsia"/>
                <w:bCs/>
                <w:sz w:val="21"/>
                <w:szCs w:val="21"/>
              </w:rPr>
              <w:t>带 “★” 技术参数符合率达到100%的得 17 分；达到 80%（含）-99% 的得 12 分；达到 50%（含）-79% 的得 7 分；达到 30%（含）-49% 的得 2 分；低于 30% 的本项不得分；</w:t>
            </w:r>
          </w:p>
          <w:p w14:paraId="0BFB4783">
            <w:pPr>
              <w:keepNext w:val="0"/>
              <w:keepLines w:val="0"/>
              <w:pageBreakBefore w:val="0"/>
              <w:widowControl w:val="0"/>
              <w:kinsoku/>
              <w:wordWrap/>
              <w:overflowPunct/>
              <w:topLinePunct w:val="0"/>
              <w:autoSpaceDE/>
              <w:autoSpaceDN/>
              <w:bidi w:val="0"/>
              <w:adjustRightInd/>
              <w:spacing w:line="240" w:lineRule="auto"/>
              <w:ind w:firstLine="420" w:firstLineChars="200"/>
              <w:jc w:val="both"/>
              <w:textAlignment w:val="auto"/>
              <w:rPr>
                <w:rFonts w:hint="eastAsia" w:cs="宋体" w:asciiTheme="minorEastAsia" w:hAnsiTheme="minorEastAsia"/>
                <w:bCs/>
                <w:sz w:val="21"/>
                <w:szCs w:val="21"/>
              </w:rPr>
            </w:pPr>
            <w:r>
              <w:rPr>
                <w:rFonts w:hint="eastAsia" w:cs="宋体" w:asciiTheme="minorEastAsia" w:hAnsiTheme="minorEastAsia"/>
                <w:bCs/>
                <w:sz w:val="21"/>
                <w:szCs w:val="21"/>
              </w:rPr>
              <w:t>带“▲”技术参数符合率达到 100% 的得 17 分；达到 80%（含）-99% 的得 12 分；达到 50%（含）-79% 的得 7 分；达到 30%（含）-49% 的得 2 分；低于 30% 的本项不得分。</w:t>
            </w:r>
          </w:p>
          <w:p w14:paraId="39CD7821">
            <w:pPr>
              <w:keepNext w:val="0"/>
              <w:keepLines w:val="0"/>
              <w:pageBreakBefore w:val="0"/>
              <w:widowControl w:val="0"/>
              <w:kinsoku/>
              <w:wordWrap/>
              <w:overflowPunct/>
              <w:topLinePunct w:val="0"/>
              <w:autoSpaceDE/>
              <w:autoSpaceDN/>
              <w:bidi w:val="0"/>
              <w:adjustRightInd/>
              <w:spacing w:line="240" w:lineRule="auto"/>
              <w:ind w:firstLine="422" w:firstLineChars="200"/>
              <w:jc w:val="both"/>
              <w:textAlignment w:val="auto"/>
              <w:rPr>
                <w:rFonts w:hint="eastAsia" w:cs="宋体" w:asciiTheme="minorEastAsia" w:hAnsiTheme="minorEastAsia"/>
                <w:bCs/>
                <w:sz w:val="21"/>
                <w:szCs w:val="21"/>
              </w:rPr>
            </w:pPr>
            <w:r>
              <w:rPr>
                <w:rFonts w:hint="eastAsia" w:cs="宋体" w:asciiTheme="minorEastAsia" w:hAnsiTheme="minorEastAsia"/>
                <w:b/>
                <w:bCs w:val="0"/>
                <w:sz w:val="21"/>
                <w:szCs w:val="21"/>
              </w:rPr>
              <w:t>注 1：</w:t>
            </w:r>
            <w:r>
              <w:rPr>
                <w:rFonts w:hint="eastAsia" w:cs="宋体" w:asciiTheme="minorEastAsia" w:hAnsiTheme="minorEastAsia"/>
                <w:bCs/>
                <w:sz w:val="21"/>
                <w:szCs w:val="21"/>
              </w:rPr>
              <w:t>符合率计算公式：符合率 =（符合招标文件要求的 “★”/“▲” 参数条数÷对应类别参数总条数）×100%，计算结果四舍五入保留两位小数。</w:t>
            </w:r>
          </w:p>
          <w:p w14:paraId="6C61301A">
            <w:pPr>
              <w:keepNext w:val="0"/>
              <w:keepLines w:val="0"/>
              <w:pageBreakBefore w:val="0"/>
              <w:widowControl w:val="0"/>
              <w:kinsoku/>
              <w:wordWrap/>
              <w:overflowPunct/>
              <w:topLinePunct w:val="0"/>
              <w:autoSpaceDE/>
              <w:autoSpaceDN/>
              <w:bidi w:val="0"/>
              <w:adjustRightInd/>
              <w:spacing w:line="240" w:lineRule="auto"/>
              <w:ind w:firstLine="422" w:firstLineChars="200"/>
              <w:jc w:val="both"/>
              <w:textAlignment w:val="auto"/>
              <w:rPr>
                <w:rFonts w:hint="eastAsia" w:cs="宋体" w:asciiTheme="minorEastAsia" w:hAnsiTheme="minorEastAsia"/>
                <w:bCs/>
                <w:sz w:val="21"/>
                <w:szCs w:val="21"/>
              </w:rPr>
            </w:pPr>
            <w:r>
              <w:rPr>
                <w:rFonts w:hint="eastAsia" w:cs="宋体" w:asciiTheme="minorEastAsia" w:hAnsiTheme="minorEastAsia"/>
                <w:b/>
                <w:bCs w:val="0"/>
                <w:sz w:val="21"/>
                <w:szCs w:val="21"/>
              </w:rPr>
              <w:t>注 2：</w:t>
            </w:r>
            <w:r>
              <w:rPr>
                <w:rFonts w:hint="eastAsia" w:cs="宋体" w:asciiTheme="minorEastAsia" w:hAnsiTheme="minorEastAsia"/>
                <w:bCs/>
                <w:sz w:val="21"/>
                <w:szCs w:val="21"/>
              </w:rPr>
              <w:t>“★”核心参数若出现任何一项负偏离，本项目（或本包）作无效投标处理；“★”“▲” 项的采购标的须提供符合参数要求的证明材料（如检测报告、设备生产厂家证明材料、彩页、手册等相关材料），未提供相关证明材料或所提供材料不满足招标文件参数要求的视为负偏离。</w:t>
            </w:r>
          </w:p>
          <w:p w14:paraId="20BDD127">
            <w:pPr>
              <w:keepNext w:val="0"/>
              <w:keepLines w:val="0"/>
              <w:pageBreakBefore w:val="0"/>
              <w:widowControl w:val="0"/>
              <w:kinsoku/>
              <w:wordWrap/>
              <w:overflowPunct/>
              <w:topLinePunct w:val="0"/>
              <w:autoSpaceDE/>
              <w:autoSpaceDN/>
              <w:bidi w:val="0"/>
              <w:adjustRightInd/>
              <w:spacing w:line="240" w:lineRule="auto"/>
              <w:ind w:firstLine="422" w:firstLineChars="200"/>
              <w:jc w:val="both"/>
              <w:textAlignment w:val="auto"/>
              <w:rPr>
                <w:rFonts w:hint="eastAsia" w:cs="宋体" w:asciiTheme="minorEastAsia" w:hAnsiTheme="minorEastAsia"/>
                <w:bCs/>
                <w:sz w:val="21"/>
                <w:szCs w:val="21"/>
                <w:lang w:val="en-US" w:eastAsia="zh-CN"/>
              </w:rPr>
            </w:pPr>
            <w:r>
              <w:rPr>
                <w:rFonts w:hint="eastAsia" w:cs="宋体" w:asciiTheme="minorEastAsia" w:hAnsiTheme="minorEastAsia"/>
                <w:b/>
                <w:bCs w:val="0"/>
                <w:sz w:val="21"/>
                <w:szCs w:val="21"/>
              </w:rPr>
              <w:t>注 3：</w:t>
            </w:r>
            <w:r>
              <w:rPr>
                <w:rFonts w:hint="eastAsia" w:cs="宋体" w:asciiTheme="minorEastAsia" w:hAnsiTheme="minorEastAsia"/>
                <w:bCs/>
                <w:sz w:val="21"/>
                <w:szCs w:val="21"/>
              </w:rPr>
              <w:t>各条参数响应情况须在 “技术要求响应及偏离表” 中如实注明偏离情况，未注明的视为默认符合招标文件要求。</w:t>
            </w:r>
          </w:p>
        </w:tc>
      </w:tr>
      <w:tr w14:paraId="5104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755" w:type="dxa"/>
            <w:noWrap w:val="0"/>
            <w:vAlign w:val="center"/>
          </w:tcPr>
          <w:p w14:paraId="10B6A55B">
            <w:pPr>
              <w:keepNext w:val="0"/>
              <w:keepLines w:val="0"/>
              <w:pageBreakBefore w:val="0"/>
              <w:widowControl w:val="0"/>
              <w:kinsoku/>
              <w:wordWrap/>
              <w:overflowPunct/>
              <w:topLinePunct w:val="0"/>
              <w:autoSpaceDE/>
              <w:autoSpaceDN/>
              <w:bidi w:val="0"/>
              <w:adjustRightInd/>
              <w:snapToGrid w:val="0"/>
              <w:spacing w:line="288" w:lineRule="auto"/>
              <w:ind w:firstLine="0"/>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1392" w:type="dxa"/>
            <w:noWrap w:val="0"/>
            <w:vAlign w:val="center"/>
          </w:tcPr>
          <w:p w14:paraId="616765CD">
            <w:pPr>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实施方案</w:t>
            </w:r>
          </w:p>
        </w:tc>
        <w:tc>
          <w:tcPr>
            <w:tcW w:w="1203" w:type="dxa"/>
            <w:noWrap w:val="0"/>
            <w:vAlign w:val="center"/>
          </w:tcPr>
          <w:p w14:paraId="281B17E1">
            <w:pPr>
              <w:keepNext w:val="0"/>
              <w:keepLines w:val="0"/>
              <w:pageBreakBefore w:val="0"/>
              <w:kinsoku/>
              <w:wordWrap/>
              <w:overflowPunct/>
              <w:topLinePunct w:val="0"/>
              <w:autoSpaceDE/>
              <w:autoSpaceDN/>
              <w:bidi w:val="0"/>
              <w:adjustRightInd/>
              <w:snapToGrid w:val="0"/>
              <w:spacing w:line="288" w:lineRule="auto"/>
              <w:jc w:val="center"/>
              <w:textAlignment w:val="auto"/>
              <w:rPr>
                <w:rFonts w:hint="default"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30分</w:t>
            </w:r>
          </w:p>
        </w:tc>
        <w:tc>
          <w:tcPr>
            <w:tcW w:w="5987" w:type="dxa"/>
            <w:noWrap w:val="0"/>
            <w:vAlign w:val="top"/>
          </w:tcPr>
          <w:p w14:paraId="40FF4348">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评审委员会根据</w:t>
            </w:r>
            <w:r>
              <w:rPr>
                <w:rFonts w:hint="eastAsia" w:ascii="宋体" w:hAnsi="宋体" w:eastAsia="宋体" w:cs="宋体"/>
                <w:kern w:val="0"/>
                <w:sz w:val="21"/>
                <w:szCs w:val="21"/>
                <w:highlight w:val="none"/>
                <w:lang w:val="zh-CN" w:eastAsia="zh-CN" w:bidi="ar-SA"/>
                <w14:ligatures w14:val="none"/>
              </w:rPr>
              <w:t>投标人提供的</w:t>
            </w:r>
            <w:r>
              <w:rPr>
                <w:rFonts w:hint="eastAsia" w:ascii="宋体" w:hAnsi="宋体" w:eastAsia="宋体" w:cs="宋体"/>
                <w:kern w:val="0"/>
                <w:sz w:val="21"/>
                <w:szCs w:val="21"/>
                <w:highlight w:val="none"/>
                <w:lang w:val="en-US" w:eastAsia="zh-CN" w:bidi="ar-SA"/>
                <w14:ligatures w14:val="none"/>
              </w:rPr>
              <w:t>售后服务方案</w:t>
            </w:r>
            <w:r>
              <w:rPr>
                <w:rFonts w:hint="eastAsia" w:ascii="宋体" w:hAnsi="宋体" w:eastAsia="宋体" w:cs="宋体"/>
                <w:kern w:val="0"/>
                <w:sz w:val="21"/>
                <w:szCs w:val="21"/>
                <w:highlight w:val="none"/>
                <w:lang w:val="zh-CN" w:eastAsia="zh-CN" w:bidi="ar-SA"/>
                <w14:ligatures w14:val="none"/>
              </w:rPr>
              <w:t>包含但不限于①售后服务体系；②</w:t>
            </w:r>
            <w:r>
              <w:rPr>
                <w:rFonts w:hint="eastAsia" w:ascii="宋体" w:hAnsi="宋体" w:eastAsia="宋体" w:cs="宋体"/>
                <w:kern w:val="0"/>
                <w:sz w:val="21"/>
                <w:szCs w:val="21"/>
                <w:highlight w:val="none"/>
                <w:lang w:val="en-US" w:eastAsia="zh-CN" w:bidi="ar-SA"/>
                <w14:ligatures w14:val="none"/>
              </w:rPr>
              <w:t>售后服务人员配置</w:t>
            </w:r>
            <w:r>
              <w:rPr>
                <w:rFonts w:hint="eastAsia" w:ascii="宋体" w:hAnsi="宋体" w:eastAsia="宋体" w:cs="宋体"/>
                <w:kern w:val="0"/>
                <w:sz w:val="21"/>
                <w:szCs w:val="21"/>
                <w:highlight w:val="none"/>
                <w:lang w:val="zh-CN" w:eastAsia="zh-CN" w:bidi="ar-SA"/>
                <w14:ligatures w14:val="none"/>
              </w:rPr>
              <w:t>；③维修服务响应时间及措施</w:t>
            </w:r>
            <w:r>
              <w:rPr>
                <w:rFonts w:hint="eastAsia" w:ascii="宋体" w:hAnsi="宋体" w:eastAsia="宋体" w:cs="宋体"/>
                <w:kern w:val="0"/>
                <w:sz w:val="21"/>
                <w:szCs w:val="21"/>
                <w:highlight w:val="none"/>
                <w:lang w:val="en-US" w:eastAsia="zh-CN" w:bidi="ar-SA"/>
                <w14:ligatures w14:val="none"/>
              </w:rPr>
              <w:t>；④紧急故障处理预案；⑤培训计划及内容；⑥质保期内外的维护维修方案。</w:t>
            </w:r>
          </w:p>
          <w:p w14:paraId="49E40F8E">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zh-CN" w:eastAsia="zh-CN" w:bidi="ar-SA"/>
                <w14:ligatures w14:val="none"/>
              </w:rPr>
              <w:t>满足以上</w:t>
            </w:r>
            <w:r>
              <w:rPr>
                <w:rFonts w:hint="eastAsia" w:ascii="宋体" w:hAnsi="宋体" w:eastAsia="宋体" w:cs="宋体"/>
                <w:kern w:val="0"/>
                <w:sz w:val="21"/>
                <w:szCs w:val="21"/>
                <w:highlight w:val="none"/>
                <w:lang w:val="en-US" w:eastAsia="zh-CN" w:bidi="ar-SA"/>
                <w14:ligatures w14:val="none"/>
              </w:rPr>
              <w:t>6</w:t>
            </w:r>
            <w:r>
              <w:rPr>
                <w:rFonts w:hint="eastAsia" w:ascii="宋体" w:hAnsi="宋体" w:eastAsia="宋体" w:cs="宋体"/>
                <w:kern w:val="0"/>
                <w:sz w:val="21"/>
                <w:szCs w:val="21"/>
                <w:highlight w:val="none"/>
                <w:lang w:val="zh-CN" w:eastAsia="zh-CN" w:bidi="ar-SA"/>
                <w14:ligatures w14:val="none"/>
              </w:rPr>
              <w:t>项要求最多得</w:t>
            </w:r>
            <w:r>
              <w:rPr>
                <w:rFonts w:hint="eastAsia" w:ascii="宋体" w:hAnsi="宋体" w:eastAsia="宋体" w:cs="宋体"/>
                <w:kern w:val="0"/>
                <w:sz w:val="21"/>
                <w:szCs w:val="21"/>
                <w:highlight w:val="none"/>
                <w:lang w:val="en-US" w:eastAsia="zh-CN" w:bidi="ar-SA"/>
                <w14:ligatures w14:val="none"/>
              </w:rPr>
              <w:t>30</w:t>
            </w:r>
            <w:r>
              <w:rPr>
                <w:rFonts w:hint="eastAsia" w:ascii="宋体" w:hAnsi="宋体" w:eastAsia="宋体" w:cs="宋体"/>
                <w:kern w:val="0"/>
                <w:sz w:val="21"/>
                <w:szCs w:val="21"/>
                <w:highlight w:val="none"/>
                <w:lang w:val="zh-CN" w:eastAsia="zh-CN" w:bidi="ar-SA"/>
                <w14:ligatures w14:val="none"/>
              </w:rPr>
              <w:t>分；满足任意</w:t>
            </w:r>
            <w:r>
              <w:rPr>
                <w:rFonts w:hint="eastAsia" w:ascii="宋体" w:hAnsi="宋体" w:eastAsia="宋体" w:cs="宋体"/>
                <w:kern w:val="0"/>
                <w:sz w:val="21"/>
                <w:szCs w:val="21"/>
                <w:highlight w:val="none"/>
                <w:lang w:val="en-US" w:eastAsia="zh-CN" w:bidi="ar-SA"/>
                <w14:ligatures w14:val="none"/>
              </w:rPr>
              <w:t>1</w:t>
            </w:r>
            <w:r>
              <w:rPr>
                <w:rFonts w:hint="eastAsia" w:ascii="宋体" w:hAnsi="宋体" w:eastAsia="宋体" w:cs="宋体"/>
                <w:kern w:val="0"/>
                <w:sz w:val="21"/>
                <w:szCs w:val="21"/>
                <w:highlight w:val="none"/>
                <w:lang w:val="zh-CN" w:eastAsia="zh-CN" w:bidi="ar-SA"/>
                <w14:ligatures w14:val="none"/>
              </w:rPr>
              <w:t>项</w:t>
            </w:r>
            <w:r>
              <w:rPr>
                <w:rFonts w:hint="eastAsia" w:ascii="宋体" w:hAnsi="宋体" w:eastAsia="宋体" w:cs="宋体"/>
                <w:kern w:val="0"/>
                <w:sz w:val="21"/>
                <w:szCs w:val="21"/>
                <w:highlight w:val="none"/>
                <w:lang w:val="en-US" w:eastAsia="zh-CN" w:bidi="ar-SA"/>
                <w14:ligatures w14:val="none"/>
              </w:rPr>
              <w:t>要求最多</w:t>
            </w:r>
            <w:r>
              <w:rPr>
                <w:rFonts w:hint="eastAsia" w:ascii="宋体" w:hAnsi="宋体" w:eastAsia="宋体" w:cs="宋体"/>
                <w:kern w:val="0"/>
                <w:sz w:val="21"/>
                <w:szCs w:val="21"/>
                <w:highlight w:val="none"/>
                <w:lang w:val="zh-CN" w:eastAsia="zh-CN" w:bidi="ar-SA"/>
                <w14:ligatures w14:val="none"/>
              </w:rPr>
              <w:t>得</w:t>
            </w:r>
            <w:r>
              <w:rPr>
                <w:rFonts w:hint="eastAsia" w:ascii="宋体" w:hAnsi="宋体" w:eastAsia="宋体" w:cs="宋体"/>
                <w:kern w:val="0"/>
                <w:sz w:val="21"/>
                <w:szCs w:val="21"/>
                <w:highlight w:val="none"/>
                <w:lang w:val="en-US" w:eastAsia="zh-CN" w:bidi="ar-SA"/>
                <w14:ligatures w14:val="none"/>
              </w:rPr>
              <w:t>5</w:t>
            </w:r>
            <w:r>
              <w:rPr>
                <w:rFonts w:hint="eastAsia" w:ascii="宋体" w:hAnsi="宋体" w:eastAsia="宋体" w:cs="宋体"/>
                <w:kern w:val="0"/>
                <w:sz w:val="21"/>
                <w:szCs w:val="21"/>
                <w:highlight w:val="none"/>
                <w:lang w:val="zh-CN" w:eastAsia="zh-CN" w:bidi="ar-SA"/>
                <w14:ligatures w14:val="none"/>
              </w:rPr>
              <w:t>分；其余情况不得分。</w:t>
            </w:r>
          </w:p>
          <w:p w14:paraId="679DBCDB">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zh-CN" w:eastAsia="zh-CN" w:bidi="ar-SA"/>
                <w14:ligatures w14:val="none"/>
              </w:rPr>
              <w:t>注：评审委员会根据各</w:t>
            </w:r>
            <w:r>
              <w:rPr>
                <w:rFonts w:hint="eastAsia" w:ascii="宋体" w:hAnsi="宋体" w:eastAsia="宋体" w:cs="宋体"/>
                <w:kern w:val="0"/>
                <w:sz w:val="21"/>
                <w:szCs w:val="21"/>
                <w:highlight w:val="none"/>
                <w:lang w:val="en-US" w:eastAsia="zh-CN" w:bidi="ar-SA"/>
                <w14:ligatures w14:val="none"/>
              </w:rPr>
              <w:t>投标人</w:t>
            </w:r>
            <w:r>
              <w:rPr>
                <w:rFonts w:hint="eastAsia" w:ascii="宋体" w:hAnsi="宋体" w:eastAsia="宋体" w:cs="宋体"/>
                <w:kern w:val="0"/>
                <w:sz w:val="21"/>
                <w:szCs w:val="21"/>
                <w:highlight w:val="none"/>
                <w:lang w:val="zh-CN" w:eastAsia="zh-CN" w:bidi="ar-SA"/>
                <w14:ligatures w14:val="none"/>
              </w:rPr>
              <w:t>的具体响应内容按照以下量化的评审因素指标对各项要求进行</w:t>
            </w:r>
            <w:r>
              <w:rPr>
                <w:rFonts w:hint="eastAsia" w:ascii="宋体" w:hAnsi="宋体" w:eastAsia="宋体" w:cs="宋体"/>
                <w:kern w:val="0"/>
                <w:sz w:val="21"/>
                <w:szCs w:val="21"/>
                <w:highlight w:val="none"/>
                <w:lang w:val="en-US" w:eastAsia="zh-CN" w:bidi="ar-SA"/>
                <w14:ligatures w14:val="none"/>
              </w:rPr>
              <w:t>评审</w:t>
            </w:r>
            <w:r>
              <w:rPr>
                <w:rFonts w:hint="eastAsia" w:ascii="宋体" w:hAnsi="宋体" w:eastAsia="宋体" w:cs="宋体"/>
                <w:kern w:val="0"/>
                <w:sz w:val="21"/>
                <w:szCs w:val="21"/>
                <w:highlight w:val="none"/>
                <w:lang w:val="zh-CN" w:eastAsia="zh-CN" w:bidi="ar-SA"/>
                <w14:ligatures w14:val="none"/>
              </w:rPr>
              <w:t>：</w:t>
            </w:r>
          </w:p>
          <w:p w14:paraId="28458FD8">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zh-CN" w:eastAsia="zh-CN" w:bidi="ar-SA"/>
                <w14:ligatures w14:val="none"/>
              </w:rPr>
              <w:t>①方案完整详尽，可行性强，考虑周全，</w:t>
            </w:r>
            <w:r>
              <w:rPr>
                <w:rFonts w:hint="eastAsia" w:ascii="宋体" w:hAnsi="宋体" w:eastAsia="宋体" w:cs="宋体"/>
                <w:kern w:val="0"/>
                <w:sz w:val="21"/>
                <w:szCs w:val="21"/>
                <w:highlight w:val="none"/>
                <w:lang w:val="en-US" w:eastAsia="zh-CN" w:bidi="ar-SA"/>
                <w14:ligatures w14:val="none"/>
              </w:rPr>
              <w:t>方案</w:t>
            </w:r>
            <w:r>
              <w:rPr>
                <w:rFonts w:hint="eastAsia" w:ascii="宋体" w:hAnsi="宋体" w:eastAsia="宋体" w:cs="宋体"/>
                <w:kern w:val="0"/>
                <w:sz w:val="21"/>
                <w:szCs w:val="21"/>
                <w:highlight w:val="none"/>
                <w:lang w:val="zh-CN" w:eastAsia="zh-CN" w:bidi="ar-SA"/>
                <w14:ligatures w14:val="none"/>
              </w:rPr>
              <w:t>思路特别清晰，符合项目需求该项得</w:t>
            </w:r>
            <w:r>
              <w:rPr>
                <w:rFonts w:hint="eastAsia" w:ascii="宋体" w:hAnsi="宋体" w:eastAsia="宋体" w:cs="宋体"/>
                <w:kern w:val="0"/>
                <w:sz w:val="21"/>
                <w:szCs w:val="21"/>
                <w:highlight w:val="none"/>
                <w:lang w:val="en-US" w:eastAsia="zh-CN" w:bidi="ar-SA"/>
                <w14:ligatures w14:val="none"/>
              </w:rPr>
              <w:t>5</w:t>
            </w:r>
            <w:r>
              <w:rPr>
                <w:rFonts w:hint="eastAsia" w:ascii="宋体" w:hAnsi="宋体" w:eastAsia="宋体" w:cs="宋体"/>
                <w:kern w:val="0"/>
                <w:sz w:val="21"/>
                <w:szCs w:val="21"/>
                <w:highlight w:val="none"/>
                <w:lang w:val="zh-CN" w:eastAsia="zh-CN" w:bidi="ar-SA"/>
                <w14:ligatures w14:val="none"/>
              </w:rPr>
              <w:t>分；</w:t>
            </w:r>
          </w:p>
          <w:p w14:paraId="47385FB7">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②</w:t>
            </w:r>
            <w:r>
              <w:rPr>
                <w:rFonts w:hint="eastAsia" w:ascii="宋体" w:hAnsi="宋体" w:eastAsia="宋体" w:cs="宋体"/>
                <w:kern w:val="0"/>
                <w:sz w:val="21"/>
                <w:szCs w:val="21"/>
                <w:highlight w:val="none"/>
                <w:lang w:val="zh-CN" w:eastAsia="zh-CN" w:bidi="ar-SA"/>
                <w14:ligatures w14:val="none"/>
              </w:rPr>
              <w:t>对项目有一定的认识，方案较为完整，</w:t>
            </w:r>
            <w:r>
              <w:rPr>
                <w:rFonts w:hint="eastAsia" w:ascii="宋体" w:hAnsi="宋体" w:eastAsia="宋体" w:cs="宋体"/>
                <w:kern w:val="0"/>
                <w:sz w:val="21"/>
                <w:szCs w:val="21"/>
                <w:highlight w:val="none"/>
                <w:lang w:val="en-US" w:eastAsia="zh-CN" w:bidi="ar-SA"/>
                <w14:ligatures w14:val="none"/>
              </w:rPr>
              <w:t>方案</w:t>
            </w:r>
            <w:r>
              <w:rPr>
                <w:rFonts w:hint="eastAsia" w:ascii="宋体" w:hAnsi="宋体" w:eastAsia="宋体" w:cs="宋体"/>
                <w:kern w:val="0"/>
                <w:sz w:val="21"/>
                <w:szCs w:val="21"/>
                <w:highlight w:val="none"/>
                <w:lang w:val="zh-CN" w:eastAsia="zh-CN" w:bidi="ar-SA"/>
                <w14:ligatures w14:val="none"/>
              </w:rPr>
              <w:t>思路基本清晰，基本符合项目需求该项得</w:t>
            </w:r>
            <w:r>
              <w:rPr>
                <w:rFonts w:hint="eastAsia" w:ascii="宋体" w:hAnsi="宋体" w:eastAsia="宋体" w:cs="宋体"/>
                <w:kern w:val="0"/>
                <w:sz w:val="21"/>
                <w:szCs w:val="21"/>
                <w:highlight w:val="none"/>
                <w:lang w:val="en-US" w:eastAsia="zh-CN" w:bidi="ar-SA"/>
                <w14:ligatures w14:val="none"/>
              </w:rPr>
              <w:t>3</w:t>
            </w:r>
            <w:r>
              <w:rPr>
                <w:rFonts w:hint="eastAsia" w:ascii="宋体" w:hAnsi="宋体" w:eastAsia="宋体" w:cs="宋体"/>
                <w:kern w:val="0"/>
                <w:sz w:val="21"/>
                <w:szCs w:val="21"/>
                <w:highlight w:val="none"/>
                <w:lang w:val="zh-CN" w:eastAsia="zh-CN" w:bidi="ar-SA"/>
                <w14:ligatures w14:val="none"/>
              </w:rPr>
              <w:t>分；</w:t>
            </w:r>
          </w:p>
          <w:p w14:paraId="365F1D13">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kern w:val="0"/>
                <w:sz w:val="21"/>
                <w:szCs w:val="21"/>
                <w:highlight w:val="none"/>
                <w:lang w:val="en-US" w:eastAsia="zh-CN" w:bidi="ar-SA"/>
                <w14:ligatures w14:val="none"/>
              </w:rPr>
            </w:pPr>
            <w:r>
              <w:rPr>
                <w:rFonts w:hint="eastAsia" w:ascii="宋体" w:hAnsi="宋体" w:eastAsia="宋体" w:cs="宋体"/>
                <w:kern w:val="0"/>
                <w:sz w:val="21"/>
                <w:szCs w:val="21"/>
                <w:highlight w:val="none"/>
                <w:lang w:val="en-US" w:eastAsia="zh-CN" w:bidi="ar-SA"/>
                <w14:ligatures w14:val="none"/>
              </w:rPr>
              <w:t>③</w:t>
            </w:r>
            <w:r>
              <w:rPr>
                <w:rFonts w:hint="eastAsia" w:ascii="宋体" w:hAnsi="宋体" w:eastAsia="宋体" w:cs="宋体"/>
                <w:kern w:val="0"/>
                <w:sz w:val="21"/>
                <w:szCs w:val="21"/>
                <w:highlight w:val="none"/>
                <w:lang w:val="zh-CN" w:eastAsia="zh-CN" w:bidi="ar-SA"/>
                <w14:ligatures w14:val="none"/>
              </w:rPr>
              <w:t>方案</w:t>
            </w:r>
            <w:r>
              <w:rPr>
                <w:rFonts w:hint="eastAsia" w:ascii="宋体" w:hAnsi="宋体" w:eastAsia="宋体" w:cs="宋体"/>
                <w:kern w:val="0"/>
                <w:sz w:val="21"/>
                <w:szCs w:val="21"/>
                <w:highlight w:val="none"/>
                <w:lang w:val="en-US" w:eastAsia="zh-CN" w:bidi="ar-SA"/>
                <w14:ligatures w14:val="none"/>
              </w:rPr>
              <w:t>内容</w:t>
            </w:r>
            <w:r>
              <w:rPr>
                <w:rFonts w:hint="eastAsia" w:ascii="宋体" w:hAnsi="宋体" w:eastAsia="宋体" w:cs="宋体"/>
                <w:kern w:val="0"/>
                <w:sz w:val="21"/>
                <w:szCs w:val="21"/>
                <w:highlight w:val="none"/>
                <w:lang w:val="zh-CN" w:eastAsia="zh-CN" w:bidi="ar-SA"/>
                <w14:ligatures w14:val="none"/>
              </w:rPr>
              <w:t>欠</w:t>
            </w:r>
            <w:r>
              <w:rPr>
                <w:rFonts w:hint="eastAsia" w:ascii="宋体" w:hAnsi="宋体" w:eastAsia="宋体" w:cs="宋体"/>
                <w:kern w:val="0"/>
                <w:sz w:val="21"/>
                <w:szCs w:val="21"/>
                <w:highlight w:val="none"/>
                <w:lang w:val="en-US" w:eastAsia="zh-CN" w:bidi="ar-SA"/>
                <w14:ligatures w14:val="none"/>
              </w:rPr>
              <w:t>缺</w:t>
            </w:r>
            <w:r>
              <w:rPr>
                <w:rFonts w:hint="eastAsia" w:ascii="宋体" w:hAnsi="宋体" w:eastAsia="宋体" w:cs="宋体"/>
                <w:kern w:val="0"/>
                <w:sz w:val="21"/>
                <w:szCs w:val="21"/>
                <w:highlight w:val="none"/>
                <w:lang w:val="zh-CN" w:eastAsia="zh-CN" w:bidi="ar-SA"/>
                <w14:ligatures w14:val="none"/>
              </w:rPr>
              <w:t>，与项目需求响应度低，项目理解思路</w:t>
            </w:r>
            <w:r>
              <w:rPr>
                <w:rFonts w:hint="eastAsia" w:ascii="宋体" w:hAnsi="宋体" w:eastAsia="宋体" w:cs="宋体"/>
                <w:kern w:val="0"/>
                <w:sz w:val="21"/>
                <w:szCs w:val="21"/>
                <w:highlight w:val="none"/>
                <w:lang w:val="en-US" w:eastAsia="zh-CN" w:bidi="ar-SA"/>
                <w14:ligatures w14:val="none"/>
              </w:rPr>
              <w:t>不够清晰</w:t>
            </w:r>
            <w:r>
              <w:rPr>
                <w:rFonts w:hint="eastAsia" w:ascii="宋体" w:hAnsi="宋体" w:eastAsia="宋体" w:cs="宋体"/>
                <w:kern w:val="0"/>
                <w:sz w:val="21"/>
                <w:szCs w:val="21"/>
                <w:highlight w:val="none"/>
                <w:lang w:val="zh-CN" w:eastAsia="zh-CN" w:bidi="ar-SA"/>
                <w14:ligatures w14:val="none"/>
              </w:rPr>
              <w:t>该项得</w:t>
            </w:r>
            <w:r>
              <w:rPr>
                <w:rFonts w:hint="eastAsia" w:ascii="宋体" w:hAnsi="宋体" w:eastAsia="宋体" w:cs="宋体"/>
                <w:kern w:val="0"/>
                <w:sz w:val="21"/>
                <w:szCs w:val="21"/>
                <w:highlight w:val="none"/>
                <w:lang w:val="en-US" w:eastAsia="zh-CN" w:bidi="ar-SA"/>
                <w14:ligatures w14:val="none"/>
              </w:rPr>
              <w:t>2</w:t>
            </w:r>
            <w:r>
              <w:rPr>
                <w:rFonts w:hint="eastAsia" w:ascii="宋体" w:hAnsi="宋体" w:eastAsia="宋体" w:cs="宋体"/>
                <w:kern w:val="0"/>
                <w:sz w:val="21"/>
                <w:szCs w:val="21"/>
                <w:highlight w:val="none"/>
                <w:lang w:val="zh-CN" w:eastAsia="zh-CN" w:bidi="ar-SA"/>
                <w14:ligatures w14:val="none"/>
              </w:rPr>
              <w:t>分。</w:t>
            </w:r>
          </w:p>
          <w:p w14:paraId="7E57DB4C">
            <w:pPr>
              <w:keepNext w:val="0"/>
              <w:keepLines w:val="0"/>
              <w:pageBreakBefore w:val="0"/>
              <w:widowControl w:val="0"/>
              <w:kinsoku/>
              <w:wordWrap/>
              <w:overflowPunct/>
              <w:topLinePunct w:val="0"/>
              <w:autoSpaceDE/>
              <w:autoSpaceDN/>
              <w:bidi w:val="0"/>
              <w:adjustRightInd/>
              <w:snapToGrid w:val="0"/>
              <w:spacing w:after="0" w:line="288" w:lineRule="auto"/>
              <w:ind w:firstLine="420" w:firstLineChars="200"/>
              <w:jc w:val="left"/>
              <w:textAlignment w:val="auto"/>
              <w:rPr>
                <w:rFonts w:hint="eastAsia" w:ascii="宋体" w:hAnsi="宋体" w:eastAsia="宋体" w:cs="宋体"/>
                <w:color w:val="000000"/>
                <w:kern w:val="0"/>
                <w:sz w:val="21"/>
                <w:szCs w:val="21"/>
                <w:highlight w:val="none"/>
                <w:lang w:val="en-US" w:eastAsia="zh-CN"/>
              </w:rPr>
            </w:pPr>
            <w:r>
              <w:rPr>
                <w:rFonts w:hint="eastAsia" w:ascii="宋体" w:hAnsi="宋体" w:eastAsia="宋体" w:cs="宋体"/>
                <w:kern w:val="0"/>
                <w:sz w:val="21"/>
                <w:szCs w:val="21"/>
                <w:highlight w:val="none"/>
                <w:lang w:val="en-US" w:eastAsia="zh-CN" w:bidi="ar-SA"/>
                <w14:ligatures w14:val="none"/>
              </w:rPr>
              <w:t>④未提供方案或提供的方案不符合项目要求的得0分。</w:t>
            </w:r>
          </w:p>
        </w:tc>
      </w:tr>
    </w:tbl>
    <w:p w14:paraId="1AF08EB0">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说明：</w:t>
      </w:r>
    </w:p>
    <w:p w14:paraId="0A1AA5C4">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（1）所有打分项均以投标人所提供的投标文件进行打分，投标文件中未提及的不予认可，投标文件提交截止时间后不得修改或是补充投标文件。</w:t>
      </w:r>
    </w:p>
    <w:p w14:paraId="5B50304D">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40" w:firstLineChars="200"/>
        <w:jc w:val="both"/>
        <w:textAlignment w:val="auto"/>
        <w:rPr>
          <w:rFonts w:hint="eastAsia" w:ascii="宋体" w:hAnsi="宋体" w:eastAsia="宋体" w:cs="宋体"/>
          <w:sz w:val="22"/>
          <w:szCs w:val="22"/>
          <w:highlight w:val="none"/>
        </w:rPr>
      </w:pPr>
      <w:r>
        <w:rPr>
          <w:rFonts w:hint="eastAsia" w:ascii="宋体" w:hAnsi="宋体" w:eastAsia="宋体" w:cs="宋体"/>
          <w:sz w:val="22"/>
          <w:szCs w:val="22"/>
          <w:highlight w:val="none"/>
        </w:rPr>
        <w:t>（2）投标人的最终得分为所有评委打分的平均值，计算结果保留至小数点后两位。</w:t>
      </w:r>
    </w:p>
    <w:p w14:paraId="1DE0EA75">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p>
    <w:p w14:paraId="7ED9E63A">
      <w:pPr>
        <w:pStyle w:val="8"/>
        <w:keepNext/>
        <w:spacing w:beforeAutospacing="0" w:afterAutospacing="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6B9CD72">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r>
    </w:p>
    <w:p w14:paraId="43688AD7">
      <w:pPr>
        <w:pStyle w:val="8"/>
        <w:keepNext/>
        <w:spacing w:beforeAutospacing="0" w:afterAutospacing="0"/>
        <w:jc w:val="center"/>
        <w:rPr>
          <w:rFonts w:hint="eastAsia" w:ascii="黑体" w:hAnsi="宋体" w:eastAsia="黑体" w:cs="黑体"/>
          <w:color w:val="000000"/>
          <w:sz w:val="44"/>
          <w:szCs w:val="44"/>
          <w:highlight w:val="none"/>
        </w:rPr>
      </w:pPr>
    </w:p>
    <w:p w14:paraId="2B989527">
      <w:pPr>
        <w:pStyle w:val="8"/>
        <w:keepNext/>
        <w:spacing w:beforeAutospacing="0" w:afterAutospacing="0"/>
        <w:jc w:val="center"/>
        <w:rPr>
          <w:rFonts w:hint="eastAsia" w:ascii="黑体" w:hAnsi="宋体" w:eastAsia="黑体" w:cs="黑体"/>
          <w:color w:val="000000"/>
          <w:sz w:val="44"/>
          <w:szCs w:val="44"/>
          <w:highlight w:val="none"/>
        </w:rPr>
      </w:pPr>
    </w:p>
    <w:p w14:paraId="0367625D">
      <w:pPr>
        <w:pStyle w:val="8"/>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496B44BE">
      <w:pPr>
        <w:pStyle w:val="8"/>
        <w:spacing w:beforeAutospacing="0" w:afterAutospacing="0"/>
        <w:jc w:val="center"/>
        <w:rPr>
          <w:rFonts w:hint="eastAsia" w:ascii="宋体" w:hAnsi="宋体" w:eastAsia="宋体" w:cs="宋体"/>
          <w:b/>
          <w:color w:val="000000"/>
          <w:sz w:val="72"/>
          <w:szCs w:val="72"/>
          <w:highlight w:val="none"/>
        </w:rPr>
      </w:pPr>
      <w:bookmarkStart w:id="204" w:name="_Toc120614282"/>
      <w:bookmarkEnd w:id="204"/>
      <w:bookmarkStart w:id="205" w:name="_Toc49090576"/>
      <w:bookmarkEnd w:id="205"/>
      <w:bookmarkStart w:id="206" w:name="_Toc26554094"/>
      <w:bookmarkStart w:id="207" w:name="_Hlt26671244"/>
      <w:bookmarkStart w:id="208" w:name="_Hlt26955039"/>
    </w:p>
    <w:p w14:paraId="59A7C727">
      <w:pPr>
        <w:pStyle w:val="8"/>
        <w:spacing w:beforeAutospacing="0" w:afterAutospacing="0"/>
        <w:jc w:val="center"/>
        <w:rPr>
          <w:rFonts w:hint="eastAsia" w:ascii="宋体" w:hAnsi="宋体" w:eastAsia="宋体" w:cs="宋体"/>
          <w:b/>
          <w:color w:val="000000"/>
          <w:sz w:val="72"/>
          <w:szCs w:val="72"/>
          <w:highlight w:val="none"/>
        </w:rPr>
      </w:pPr>
    </w:p>
    <w:p w14:paraId="0B1A27A8">
      <w:pPr>
        <w:pStyle w:val="8"/>
        <w:spacing w:beforeAutospacing="0" w:afterAutospacing="0"/>
        <w:jc w:val="center"/>
        <w:rPr>
          <w:highlight w:val="none"/>
        </w:rPr>
      </w:pPr>
      <w:r>
        <w:rPr>
          <w:rFonts w:hint="eastAsia" w:ascii="宋体" w:hAnsi="宋体" w:eastAsia="宋体" w:cs="宋体"/>
          <w:b/>
          <w:color w:val="000000"/>
          <w:sz w:val="72"/>
          <w:szCs w:val="72"/>
          <w:highlight w:val="none"/>
        </w:rPr>
        <w:t>投  标  文  件</w:t>
      </w:r>
    </w:p>
    <w:p w14:paraId="6F7385F4">
      <w:pPr>
        <w:pStyle w:val="8"/>
        <w:spacing w:beforeAutospacing="0" w:afterAutospacing="0"/>
        <w:jc w:val="center"/>
        <w:rPr>
          <w:highlight w:val="none"/>
        </w:rPr>
      </w:pPr>
      <w:r>
        <w:rPr>
          <w:highlight w:val="none"/>
        </w:rPr>
        <w:t> </w:t>
      </w:r>
    </w:p>
    <w:p w14:paraId="116EE8BE">
      <w:pPr>
        <w:pStyle w:val="8"/>
        <w:spacing w:beforeAutospacing="0" w:afterAutospacing="0"/>
        <w:jc w:val="center"/>
        <w:rPr>
          <w:highlight w:val="none"/>
        </w:rPr>
      </w:pPr>
      <w:r>
        <w:rPr>
          <w:highlight w:val="none"/>
        </w:rPr>
        <w:t> </w:t>
      </w:r>
    </w:p>
    <w:p w14:paraId="1689E381">
      <w:pPr>
        <w:pStyle w:val="8"/>
        <w:spacing w:beforeAutospacing="0" w:afterAutospacing="0"/>
        <w:jc w:val="center"/>
        <w:rPr>
          <w:highlight w:val="none"/>
        </w:rPr>
      </w:pPr>
      <w:r>
        <w:rPr>
          <w:highlight w:val="none"/>
        </w:rPr>
        <w:t> </w:t>
      </w:r>
    </w:p>
    <w:p w14:paraId="1172103B">
      <w:pPr>
        <w:pStyle w:val="8"/>
        <w:spacing w:beforeAutospacing="0" w:afterAutospacing="0"/>
        <w:jc w:val="center"/>
        <w:rPr>
          <w:highlight w:val="none"/>
        </w:rPr>
      </w:pPr>
      <w:r>
        <w:rPr>
          <w:highlight w:val="none"/>
        </w:rPr>
        <w:t> </w:t>
      </w:r>
    </w:p>
    <w:p w14:paraId="773BE420">
      <w:pPr>
        <w:pStyle w:val="8"/>
        <w:spacing w:beforeAutospacing="0" w:afterAutospacing="0"/>
        <w:jc w:val="center"/>
        <w:rPr>
          <w:highlight w:val="none"/>
        </w:rPr>
      </w:pPr>
      <w:r>
        <w:rPr>
          <w:highlight w:val="none"/>
        </w:rPr>
        <w:t> </w:t>
      </w:r>
    </w:p>
    <w:p w14:paraId="0D9C9B44">
      <w:pPr>
        <w:pStyle w:val="8"/>
        <w:spacing w:beforeAutospacing="0" w:afterAutospacing="0"/>
        <w:ind w:firstLine="1084"/>
        <w:jc w:val="both"/>
        <w:rPr>
          <w:highlight w:val="none"/>
        </w:rPr>
      </w:pPr>
      <w:r>
        <w:rPr>
          <w:rFonts w:hint="eastAsia" w:ascii="宋体" w:hAnsi="宋体" w:eastAsia="宋体" w:cs="宋体"/>
          <w:b/>
          <w:color w:val="000000"/>
          <w:sz w:val="36"/>
          <w:szCs w:val="36"/>
          <w:highlight w:val="none"/>
        </w:rPr>
        <w:t>项 目 名 称：</w:t>
      </w:r>
      <w:r>
        <w:rPr>
          <w:rFonts w:hint="eastAsia" w:ascii="宋体" w:hAnsi="宋体" w:eastAsia="宋体" w:cs="宋体"/>
          <w:b/>
          <w:color w:val="000000"/>
          <w:sz w:val="36"/>
          <w:szCs w:val="36"/>
          <w:highlight w:val="none"/>
          <w:u w:val="single"/>
        </w:rPr>
        <w:t>             </w:t>
      </w:r>
    </w:p>
    <w:p w14:paraId="4C9C4B28">
      <w:pPr>
        <w:pStyle w:val="8"/>
        <w:spacing w:beforeAutospacing="0" w:afterAutospacing="0"/>
        <w:ind w:firstLine="1084"/>
        <w:jc w:val="both"/>
        <w:rPr>
          <w:highlight w:val="none"/>
        </w:rPr>
      </w:pPr>
      <w:r>
        <w:rPr>
          <w:rFonts w:hint="eastAsia" w:ascii="宋体" w:hAnsi="宋体" w:eastAsia="宋体" w:cs="宋体"/>
          <w:b/>
          <w:color w:val="000000"/>
          <w:sz w:val="36"/>
          <w:szCs w:val="36"/>
          <w:highlight w:val="none"/>
        </w:rPr>
        <w:t>项 目 编 号：</w:t>
      </w:r>
      <w:r>
        <w:rPr>
          <w:rFonts w:hint="eastAsia" w:ascii="宋体" w:hAnsi="宋体" w:eastAsia="宋体" w:cs="宋体"/>
          <w:b/>
          <w:color w:val="000000"/>
          <w:sz w:val="36"/>
          <w:szCs w:val="36"/>
          <w:highlight w:val="none"/>
          <w:u w:val="single"/>
        </w:rPr>
        <w:t>             </w:t>
      </w:r>
    </w:p>
    <w:p w14:paraId="2B329B95">
      <w:pPr>
        <w:pStyle w:val="8"/>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（加盖CA电子公章）</w:t>
      </w:r>
    </w:p>
    <w:p w14:paraId="1E760D54">
      <w:pPr>
        <w:pStyle w:val="8"/>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307A6EE9">
      <w:pPr>
        <w:pStyle w:val="8"/>
        <w:spacing w:beforeAutospacing="0" w:afterAutospacing="0" w:line="0" w:lineRule="atLeast"/>
        <w:jc w:val="center"/>
        <w:rPr>
          <w:highlight w:val="none"/>
        </w:rPr>
      </w:pPr>
    </w:p>
    <w:p w14:paraId="522BF4B7">
      <w:pPr>
        <w:pStyle w:val="8"/>
        <w:spacing w:beforeAutospacing="0" w:afterAutospacing="0" w:line="0" w:lineRule="atLeast"/>
        <w:jc w:val="center"/>
        <w:rPr>
          <w:highlight w:val="none"/>
        </w:rPr>
      </w:pPr>
    </w:p>
    <w:p w14:paraId="1D6C4EA9">
      <w:pPr>
        <w:pStyle w:val="8"/>
        <w:spacing w:beforeAutospacing="0" w:afterAutospacing="0" w:line="0" w:lineRule="atLeast"/>
        <w:jc w:val="center"/>
        <w:rPr>
          <w:highlight w:val="none"/>
        </w:rPr>
      </w:pPr>
    </w:p>
    <w:p w14:paraId="3FCD9059">
      <w:pPr>
        <w:pStyle w:val="8"/>
        <w:spacing w:beforeAutospacing="0" w:afterAutospacing="0" w:line="0" w:lineRule="atLeast"/>
        <w:jc w:val="center"/>
        <w:rPr>
          <w:highlight w:val="none"/>
        </w:rPr>
      </w:pPr>
    </w:p>
    <w:p w14:paraId="65EE8389">
      <w:pPr>
        <w:pStyle w:val="8"/>
        <w:spacing w:beforeAutospacing="0" w:afterAutospacing="0" w:line="0" w:lineRule="atLeast"/>
        <w:jc w:val="center"/>
        <w:rPr>
          <w:highlight w:val="none"/>
        </w:rPr>
      </w:pPr>
    </w:p>
    <w:p w14:paraId="1F00DE46">
      <w:pPr>
        <w:pStyle w:val="8"/>
        <w:spacing w:beforeAutospacing="0" w:afterAutospacing="0" w:line="0" w:lineRule="atLeast"/>
        <w:jc w:val="center"/>
        <w:rPr>
          <w:highlight w:val="none"/>
        </w:rPr>
      </w:pPr>
    </w:p>
    <w:p w14:paraId="1FFCB483">
      <w:pPr>
        <w:pStyle w:val="8"/>
        <w:spacing w:beforeAutospacing="0" w:afterAutospacing="0" w:line="0" w:lineRule="atLeast"/>
        <w:jc w:val="center"/>
        <w:rPr>
          <w:highlight w:val="none"/>
        </w:rPr>
      </w:pPr>
    </w:p>
    <w:p w14:paraId="69C2000F">
      <w:pPr>
        <w:pStyle w:val="8"/>
        <w:spacing w:beforeAutospacing="0" w:afterAutospacing="0" w:line="0" w:lineRule="atLeast"/>
        <w:jc w:val="center"/>
        <w:rPr>
          <w:highlight w:val="none"/>
        </w:rPr>
      </w:pPr>
    </w:p>
    <w:p w14:paraId="7E4BDA90">
      <w:pPr>
        <w:pStyle w:val="8"/>
        <w:spacing w:beforeAutospacing="0" w:afterAutospacing="0" w:line="0" w:lineRule="atLeast"/>
        <w:jc w:val="center"/>
        <w:rPr>
          <w:highlight w:val="none"/>
        </w:rPr>
      </w:pPr>
    </w:p>
    <w:p w14:paraId="50411275">
      <w:pPr>
        <w:pStyle w:val="8"/>
        <w:spacing w:beforeAutospacing="0" w:afterAutospacing="0" w:line="0" w:lineRule="atLeast"/>
        <w:jc w:val="center"/>
        <w:rPr>
          <w:highlight w:val="none"/>
        </w:rPr>
      </w:pPr>
    </w:p>
    <w:p w14:paraId="35984E94">
      <w:pPr>
        <w:pStyle w:val="8"/>
        <w:spacing w:beforeAutospacing="0" w:afterAutospacing="0" w:line="0" w:lineRule="atLeast"/>
        <w:jc w:val="center"/>
        <w:rPr>
          <w:highlight w:val="none"/>
        </w:rPr>
      </w:pPr>
    </w:p>
    <w:p w14:paraId="0EA21101">
      <w:pPr>
        <w:pStyle w:val="8"/>
        <w:spacing w:beforeAutospacing="0" w:afterAutospacing="0" w:line="0" w:lineRule="atLeast"/>
        <w:jc w:val="center"/>
        <w:rPr>
          <w:highlight w:val="none"/>
        </w:rPr>
      </w:pPr>
    </w:p>
    <w:p w14:paraId="598F55FA">
      <w:pPr>
        <w:pStyle w:val="8"/>
        <w:spacing w:beforeAutospacing="0" w:afterAutospacing="0" w:line="0" w:lineRule="atLeast"/>
        <w:jc w:val="center"/>
        <w:rPr>
          <w:highlight w:val="none"/>
        </w:rPr>
      </w:pPr>
    </w:p>
    <w:p w14:paraId="5694C6B0">
      <w:pPr>
        <w:pStyle w:val="8"/>
        <w:spacing w:beforeAutospacing="0" w:afterAutospacing="0" w:line="0" w:lineRule="atLeast"/>
        <w:jc w:val="center"/>
        <w:rPr>
          <w:highlight w:val="none"/>
        </w:rPr>
      </w:pPr>
    </w:p>
    <w:p w14:paraId="014757FE">
      <w:pPr>
        <w:pStyle w:val="8"/>
        <w:spacing w:beforeAutospacing="0" w:afterAutospacing="0" w:line="0" w:lineRule="atLeast"/>
        <w:jc w:val="center"/>
        <w:rPr>
          <w:highlight w:val="none"/>
        </w:rPr>
      </w:pPr>
    </w:p>
    <w:p w14:paraId="557FDC97">
      <w:pPr>
        <w:pStyle w:val="8"/>
        <w:spacing w:beforeAutospacing="0" w:afterAutospacing="0" w:line="0" w:lineRule="atLeast"/>
        <w:jc w:val="center"/>
        <w:rPr>
          <w:highlight w:val="none"/>
        </w:rPr>
      </w:pPr>
    </w:p>
    <w:p w14:paraId="77D2DCD6">
      <w:pPr>
        <w:pStyle w:val="8"/>
        <w:spacing w:beforeAutospacing="0" w:afterAutospacing="0" w:line="0" w:lineRule="atLeast"/>
        <w:jc w:val="center"/>
        <w:rPr>
          <w:highlight w:val="none"/>
        </w:rPr>
      </w:pPr>
    </w:p>
    <w:p w14:paraId="659BF965">
      <w:pPr>
        <w:pStyle w:val="8"/>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0D494503">
      <w:pPr>
        <w:pStyle w:val="8"/>
        <w:spacing w:beforeAutospacing="0" w:afterAutospacing="0" w:line="0" w:lineRule="atLeast"/>
        <w:jc w:val="center"/>
        <w:rPr>
          <w:highlight w:val="none"/>
        </w:rPr>
      </w:pPr>
      <w:r>
        <w:rPr>
          <w:highlight w:val="none"/>
        </w:rPr>
        <w:t> </w:t>
      </w:r>
    </w:p>
    <w:p w14:paraId="3D0829A7">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一、法人或者其他组织的营业执照等证明文件，自然人的身份证明</w:t>
      </w:r>
    </w:p>
    <w:p w14:paraId="321608B8">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二、上一年度的财务状况报告（至少提供资产负债表、利润表、现金流量表，投标人成立不满一年无需提供）</w:t>
      </w:r>
    </w:p>
    <w:p w14:paraId="11D65D74">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三、具备履行合同所必需的设备和专业技术能力的书面声明</w:t>
      </w:r>
    </w:p>
    <w:p w14:paraId="489E2043">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5B915CD">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五、参加政府采购活动前 3 年内在经营活动中没有重大违法记录的书面声明</w:t>
      </w:r>
    </w:p>
    <w:p w14:paraId="178198B5">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六、特定资格要求的证明文件（如果本项目设置特定资格要求，则需要提供）</w:t>
      </w:r>
    </w:p>
    <w:p w14:paraId="5E05E460">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七、法定代表人身份证明书及法人授权书</w:t>
      </w:r>
    </w:p>
    <w:p w14:paraId="4D8781B5">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八、投标函</w:t>
      </w:r>
    </w:p>
    <w:p w14:paraId="1153FFD6">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九、《小微企业声明函》</w:t>
      </w:r>
    </w:p>
    <w:p w14:paraId="7E7631AE">
      <w:pPr>
        <w:spacing w:line="360" w:lineRule="auto"/>
        <w:ind w:firstLine="560"/>
        <w:jc w:val="left"/>
        <w:rPr>
          <w:rFonts w:hint="eastAsia" w:ascii="Calibri" w:hAnsi="Calibri" w:eastAsia="宋体" w:cs="Times New Roman"/>
          <w:kern w:val="0"/>
          <w:sz w:val="24"/>
          <w:szCs w:val="22"/>
          <w:lang w:eastAsia="zh-CN"/>
        </w:rPr>
      </w:pPr>
      <w:r>
        <w:rPr>
          <w:rFonts w:hint="eastAsia" w:ascii="Calibri" w:hAnsi="Calibri" w:eastAsia="Arial" w:cs="Times New Roman"/>
          <w:kern w:val="0"/>
          <w:sz w:val="24"/>
          <w:szCs w:val="22"/>
        </w:rPr>
        <w:t>十、残疾人福利性单位声明函</w:t>
      </w:r>
      <w:r>
        <w:rPr>
          <w:rFonts w:hint="eastAsia" w:ascii="Calibri" w:hAnsi="Calibri" w:eastAsia="宋体" w:cs="Times New Roman"/>
          <w:kern w:val="0"/>
          <w:sz w:val="24"/>
          <w:szCs w:val="22"/>
          <w:lang w:eastAsia="zh-CN"/>
        </w:rPr>
        <w:t>（</w:t>
      </w:r>
      <w:r>
        <w:rPr>
          <w:rFonts w:hint="eastAsia" w:ascii="Calibri" w:hAnsi="Calibri" w:eastAsia="宋体" w:cs="Times New Roman"/>
          <w:kern w:val="0"/>
          <w:sz w:val="24"/>
          <w:szCs w:val="22"/>
          <w:lang w:val="en-US" w:eastAsia="zh-CN"/>
        </w:rPr>
        <w:t>如有</w:t>
      </w:r>
      <w:r>
        <w:rPr>
          <w:rFonts w:hint="eastAsia" w:ascii="Calibri" w:hAnsi="Calibri" w:eastAsia="宋体" w:cs="Times New Roman"/>
          <w:kern w:val="0"/>
          <w:sz w:val="24"/>
          <w:szCs w:val="22"/>
          <w:lang w:eastAsia="zh-CN"/>
        </w:rPr>
        <w:t>）</w:t>
      </w:r>
    </w:p>
    <w:p w14:paraId="6C1056A5">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十一、投标分项报价表</w:t>
      </w:r>
    </w:p>
    <w:p w14:paraId="7D84F441">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十</w:t>
      </w:r>
      <w:r>
        <w:rPr>
          <w:rFonts w:hint="eastAsia" w:ascii="Calibri" w:hAnsi="Calibri" w:eastAsia="宋体" w:cs="Times New Roman"/>
          <w:kern w:val="0"/>
          <w:sz w:val="24"/>
          <w:szCs w:val="22"/>
          <w:lang w:val="en-US" w:eastAsia="zh-CN"/>
        </w:rPr>
        <w:t>二</w:t>
      </w:r>
      <w:r>
        <w:rPr>
          <w:rFonts w:hint="eastAsia" w:ascii="Calibri" w:hAnsi="Calibri" w:eastAsia="Arial" w:cs="Times New Roman"/>
          <w:kern w:val="0"/>
          <w:sz w:val="24"/>
          <w:szCs w:val="22"/>
        </w:rPr>
        <w:t>、技术要求响应及偏离表</w:t>
      </w:r>
    </w:p>
    <w:p w14:paraId="2F943A78">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十</w:t>
      </w:r>
      <w:r>
        <w:rPr>
          <w:rFonts w:hint="eastAsia" w:ascii="Calibri" w:hAnsi="Calibri" w:eastAsia="宋体" w:cs="Times New Roman"/>
          <w:kern w:val="0"/>
          <w:sz w:val="24"/>
          <w:szCs w:val="22"/>
          <w:lang w:val="en-US" w:eastAsia="zh-CN"/>
        </w:rPr>
        <w:t>三</w:t>
      </w:r>
      <w:r>
        <w:rPr>
          <w:rFonts w:hint="eastAsia" w:ascii="Calibri" w:hAnsi="Calibri" w:eastAsia="Arial" w:cs="Times New Roman"/>
          <w:kern w:val="0"/>
          <w:sz w:val="24"/>
          <w:szCs w:val="22"/>
        </w:rPr>
        <w:t>、商务要求响应及偏离表</w:t>
      </w:r>
    </w:p>
    <w:p w14:paraId="469536E2">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十</w:t>
      </w:r>
      <w:r>
        <w:rPr>
          <w:rFonts w:hint="eastAsia" w:ascii="Calibri" w:hAnsi="Calibri" w:eastAsia="宋体" w:cs="Times New Roman"/>
          <w:kern w:val="0"/>
          <w:sz w:val="24"/>
          <w:szCs w:val="22"/>
          <w:lang w:val="en-US" w:eastAsia="zh-CN"/>
        </w:rPr>
        <w:t>四</w:t>
      </w:r>
      <w:r>
        <w:rPr>
          <w:rFonts w:hint="eastAsia" w:ascii="Calibri" w:hAnsi="Calibri" w:eastAsia="Arial" w:cs="Times New Roman"/>
          <w:kern w:val="0"/>
          <w:sz w:val="24"/>
          <w:szCs w:val="22"/>
        </w:rPr>
        <w:t>、开标一览表</w:t>
      </w:r>
    </w:p>
    <w:p w14:paraId="7F351601">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十</w:t>
      </w:r>
      <w:r>
        <w:rPr>
          <w:rFonts w:hint="eastAsia" w:ascii="Calibri" w:hAnsi="Calibri" w:eastAsia="宋体" w:cs="Times New Roman"/>
          <w:kern w:val="0"/>
          <w:sz w:val="24"/>
          <w:szCs w:val="22"/>
          <w:lang w:val="en-US" w:eastAsia="zh-CN"/>
        </w:rPr>
        <w:t>五</w:t>
      </w:r>
      <w:r>
        <w:rPr>
          <w:rFonts w:hint="eastAsia" w:ascii="Calibri" w:hAnsi="Calibri" w:eastAsia="Arial" w:cs="Times New Roman"/>
          <w:kern w:val="0"/>
          <w:sz w:val="24"/>
          <w:szCs w:val="22"/>
        </w:rPr>
        <w:t>、技术方案、服务承诺、培训承诺等</w:t>
      </w:r>
    </w:p>
    <w:p w14:paraId="3770C0C0">
      <w:pPr>
        <w:spacing w:line="360" w:lineRule="auto"/>
        <w:ind w:firstLine="560"/>
        <w:jc w:val="left"/>
        <w:rPr>
          <w:rFonts w:hint="default" w:ascii="Calibri" w:hAnsi="Calibri" w:eastAsia="Arial" w:cs="Times New Roman"/>
          <w:kern w:val="0"/>
          <w:sz w:val="24"/>
          <w:szCs w:val="22"/>
        </w:rPr>
      </w:pPr>
      <w:r>
        <w:rPr>
          <w:rFonts w:hint="eastAsia" w:ascii="Calibri" w:hAnsi="Calibri" w:eastAsia="Arial" w:cs="Times New Roman"/>
          <w:kern w:val="0"/>
          <w:sz w:val="24"/>
          <w:szCs w:val="22"/>
        </w:rPr>
        <w:t>十</w:t>
      </w:r>
      <w:r>
        <w:rPr>
          <w:rFonts w:hint="eastAsia" w:ascii="Calibri" w:hAnsi="Calibri" w:eastAsia="宋体" w:cs="Times New Roman"/>
          <w:kern w:val="0"/>
          <w:sz w:val="24"/>
          <w:szCs w:val="22"/>
          <w:lang w:val="en-US" w:eastAsia="zh-CN"/>
        </w:rPr>
        <w:t>六</w:t>
      </w:r>
      <w:r>
        <w:rPr>
          <w:rFonts w:hint="eastAsia" w:ascii="Calibri" w:hAnsi="Calibri" w:eastAsia="Arial" w:cs="Times New Roman"/>
          <w:kern w:val="0"/>
          <w:sz w:val="24"/>
          <w:szCs w:val="22"/>
        </w:rPr>
        <w:t>、盐城市政府采购事前信用承诺书</w:t>
      </w:r>
    </w:p>
    <w:p w14:paraId="6A496774">
      <w:pPr>
        <w:spacing w:line="360" w:lineRule="auto"/>
        <w:ind w:firstLine="560"/>
        <w:jc w:val="left"/>
        <w:rPr>
          <w:rFonts w:hint="eastAsia" w:ascii="Calibri" w:hAnsi="Calibri" w:eastAsia="Arial" w:cs="Times New Roman"/>
          <w:kern w:val="0"/>
          <w:sz w:val="24"/>
          <w:szCs w:val="22"/>
        </w:rPr>
      </w:pPr>
      <w:r>
        <w:rPr>
          <w:rFonts w:hint="eastAsia" w:ascii="Calibri" w:hAnsi="Calibri" w:eastAsia="Arial" w:cs="Times New Roman"/>
          <w:kern w:val="0"/>
          <w:sz w:val="24"/>
          <w:szCs w:val="22"/>
        </w:rPr>
        <w:t>十</w:t>
      </w:r>
      <w:r>
        <w:rPr>
          <w:rFonts w:hint="eastAsia" w:ascii="Calibri" w:hAnsi="Calibri" w:eastAsia="Arial" w:cs="Times New Roman"/>
          <w:kern w:val="0"/>
          <w:sz w:val="24"/>
          <w:szCs w:val="22"/>
          <w:lang w:val="en-US" w:eastAsia="zh-CN"/>
        </w:rPr>
        <w:t>七</w:t>
      </w:r>
      <w:r>
        <w:rPr>
          <w:rFonts w:hint="eastAsia" w:ascii="Calibri" w:hAnsi="Calibri" w:eastAsia="Arial" w:cs="Times New Roman"/>
          <w:kern w:val="0"/>
          <w:sz w:val="24"/>
          <w:szCs w:val="22"/>
        </w:rPr>
        <w:t>、招标文件要求的与评审有关的其他资料</w:t>
      </w:r>
    </w:p>
    <w:p w14:paraId="626E3581">
      <w:pPr>
        <w:pStyle w:val="8"/>
        <w:spacing w:beforeAutospacing="0" w:afterAutospacing="0" w:line="0" w:lineRule="atLeast"/>
        <w:ind w:firstLine="480"/>
        <w:jc w:val="both"/>
        <w:rPr>
          <w:highlight w:val="none"/>
        </w:rPr>
      </w:pPr>
      <w:r>
        <w:rPr>
          <w:highlight w:val="none"/>
        </w:rPr>
        <w:t> </w:t>
      </w:r>
    </w:p>
    <w:p w14:paraId="664E19FE">
      <w:pPr>
        <w:pStyle w:val="8"/>
        <w:spacing w:beforeAutospacing="0" w:afterAutospacing="0" w:line="0" w:lineRule="atLeast"/>
        <w:ind w:firstLine="480"/>
        <w:jc w:val="both"/>
        <w:rPr>
          <w:highlight w:val="none"/>
        </w:rPr>
      </w:pPr>
      <w:r>
        <w:rPr>
          <w:highlight w:val="none"/>
        </w:rPr>
        <w:t> </w:t>
      </w:r>
    </w:p>
    <w:p w14:paraId="347B9BE8">
      <w:pPr>
        <w:pStyle w:val="8"/>
        <w:spacing w:beforeAutospacing="0" w:afterAutospacing="0" w:line="0" w:lineRule="atLeast"/>
        <w:ind w:firstLine="480"/>
        <w:jc w:val="both"/>
        <w:rPr>
          <w:highlight w:val="none"/>
        </w:rPr>
      </w:pPr>
      <w:r>
        <w:rPr>
          <w:highlight w:val="none"/>
        </w:rPr>
        <w:t> </w:t>
      </w:r>
    </w:p>
    <w:p w14:paraId="0DAE4FA9">
      <w:pPr>
        <w:pStyle w:val="8"/>
        <w:spacing w:beforeAutospacing="0" w:afterAutospacing="0" w:line="0" w:lineRule="atLeast"/>
        <w:ind w:firstLine="480"/>
        <w:jc w:val="both"/>
        <w:rPr>
          <w:highlight w:val="none"/>
        </w:rPr>
      </w:pPr>
      <w:r>
        <w:rPr>
          <w:highlight w:val="none"/>
        </w:rPr>
        <w:t> </w:t>
      </w:r>
    </w:p>
    <w:p w14:paraId="6683C043">
      <w:pPr>
        <w:pStyle w:val="8"/>
        <w:spacing w:beforeAutospacing="0" w:afterAutospacing="0" w:line="0" w:lineRule="atLeast"/>
        <w:ind w:firstLine="480"/>
        <w:jc w:val="both"/>
        <w:rPr>
          <w:highlight w:val="none"/>
        </w:rPr>
      </w:pPr>
      <w:r>
        <w:rPr>
          <w:highlight w:val="none"/>
        </w:rPr>
        <w:t> </w:t>
      </w:r>
    </w:p>
    <w:p w14:paraId="3D740BC1">
      <w:pPr>
        <w:pStyle w:val="8"/>
        <w:spacing w:beforeAutospacing="0" w:afterAutospacing="0" w:line="0" w:lineRule="atLeast"/>
        <w:ind w:firstLine="480"/>
        <w:jc w:val="both"/>
        <w:rPr>
          <w:highlight w:val="none"/>
        </w:rPr>
      </w:pPr>
      <w:r>
        <w:rPr>
          <w:highlight w:val="none"/>
        </w:rPr>
        <w:t> </w:t>
      </w:r>
    </w:p>
    <w:p w14:paraId="783B6C87">
      <w:pPr>
        <w:pStyle w:val="8"/>
        <w:spacing w:beforeAutospacing="0" w:afterAutospacing="0" w:line="0" w:lineRule="atLeast"/>
        <w:ind w:firstLine="480"/>
        <w:jc w:val="both"/>
        <w:rPr>
          <w:highlight w:val="none"/>
        </w:rPr>
      </w:pPr>
      <w:r>
        <w:rPr>
          <w:highlight w:val="none"/>
        </w:rPr>
        <w:t> </w:t>
      </w:r>
    </w:p>
    <w:p w14:paraId="2D5F1C1C">
      <w:pPr>
        <w:pStyle w:val="8"/>
        <w:spacing w:beforeAutospacing="0" w:afterAutospacing="0" w:line="0" w:lineRule="atLeast"/>
        <w:ind w:firstLine="480"/>
        <w:jc w:val="both"/>
        <w:rPr>
          <w:highlight w:val="none"/>
        </w:rPr>
      </w:pPr>
      <w:r>
        <w:rPr>
          <w:highlight w:val="none"/>
        </w:rPr>
        <w:t> </w:t>
      </w:r>
    </w:p>
    <w:p w14:paraId="2301786D">
      <w:pPr>
        <w:pStyle w:val="8"/>
        <w:spacing w:beforeAutospacing="0" w:afterAutospacing="0" w:line="0" w:lineRule="atLeast"/>
        <w:ind w:firstLine="480"/>
        <w:jc w:val="both"/>
        <w:rPr>
          <w:highlight w:val="none"/>
        </w:rPr>
      </w:pPr>
    </w:p>
    <w:p w14:paraId="6C2389A3">
      <w:pPr>
        <w:pStyle w:val="8"/>
        <w:spacing w:beforeAutospacing="0" w:afterAutospacing="0" w:line="0" w:lineRule="atLeast"/>
        <w:ind w:firstLine="480"/>
        <w:jc w:val="both"/>
        <w:rPr>
          <w:highlight w:val="none"/>
        </w:rPr>
      </w:pPr>
    </w:p>
    <w:p w14:paraId="374F5D55">
      <w:pPr>
        <w:pStyle w:val="8"/>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一、法人或者其他组织的营业执照等证明文件，自然人的身份证明</w:t>
      </w:r>
    </w:p>
    <w:p w14:paraId="71FFF976">
      <w:pPr>
        <w:pStyle w:val="8"/>
        <w:spacing w:beforeAutospacing="0" w:afterAutospacing="0" w:line="0" w:lineRule="atLeast"/>
        <w:ind w:firstLine="480"/>
        <w:jc w:val="both"/>
        <w:rPr>
          <w:highlight w:val="none"/>
        </w:rPr>
      </w:pPr>
      <w:r>
        <w:rPr>
          <w:highlight w:val="none"/>
        </w:rPr>
        <w:t> </w:t>
      </w:r>
    </w:p>
    <w:p w14:paraId="61468E47">
      <w:pPr>
        <w:pStyle w:val="8"/>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w:t>
      </w:r>
    </w:p>
    <w:p w14:paraId="2AB5FC7F">
      <w:pPr>
        <w:tabs>
          <w:tab w:val="left" w:pos="1331"/>
        </w:tabs>
        <w:bidi w:val="0"/>
        <w:ind w:firstLine="480" w:firstLineChars="200"/>
        <w:jc w:val="left"/>
        <w:rPr>
          <w:i w:val="0"/>
          <w:iCs/>
          <w:highlight w:val="none"/>
          <w:u w:val="none"/>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w:t>
      </w:r>
      <w:r>
        <w:rPr>
          <w:rFonts w:hint="eastAsia" w:ascii="宋体" w:hAnsi="宋体" w:eastAsia="宋体" w:cs="宋体"/>
          <w:i w:val="0"/>
          <w:iCs/>
          <w:color w:val="000000"/>
          <w:highlight w:val="none"/>
          <w:u w:val="none"/>
        </w:rPr>
        <w:t>投标人成立不满一年无需提供）</w:t>
      </w:r>
    </w:p>
    <w:p w14:paraId="13CE4AFE">
      <w:pPr>
        <w:pStyle w:val="8"/>
        <w:spacing w:beforeAutospacing="0" w:afterAutospacing="0"/>
        <w:jc w:val="both"/>
        <w:rPr>
          <w:highlight w:val="none"/>
        </w:rPr>
      </w:pPr>
      <w:r>
        <w:rPr>
          <w:highlight w:val="none"/>
        </w:rPr>
        <w:t> </w:t>
      </w:r>
    </w:p>
    <w:p w14:paraId="3B215A68">
      <w:pPr>
        <w:pStyle w:val="8"/>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A3F2575">
      <w:pPr>
        <w:pStyle w:val="8"/>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7158CE18">
      <w:pPr>
        <w:pStyle w:val="8"/>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C40D482">
      <w:pPr>
        <w:pStyle w:val="8"/>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14B54366">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企业名称（加盖CA电子公章）：</w:t>
      </w:r>
    </w:p>
    <w:p w14:paraId="097800F6">
      <w:pPr>
        <w:spacing w:line="360" w:lineRule="auto"/>
        <w:ind w:firstLine="560"/>
        <w:jc w:val="left"/>
        <w:rPr>
          <w:rFonts w:hint="eastAsia" w:ascii="宋体" w:hAnsi="宋体" w:eastAsia="宋体" w:cs="宋体"/>
          <w:color w:val="000000"/>
          <w:sz w:val="24"/>
          <w:szCs w:val="24"/>
          <w:highlight w:val="none"/>
        </w:rPr>
      </w:pPr>
      <w:r>
        <w:rPr>
          <w:rFonts w:hint="eastAsia" w:ascii="Calibri" w:hAnsi="Calibri" w:eastAsia="Arial" w:cs="Times New Roman"/>
          <w:kern w:val="0"/>
          <w:sz w:val="24"/>
          <w:szCs w:val="24"/>
        </w:rPr>
        <w:t xml:space="preserve">          年    月    日</w:t>
      </w:r>
    </w:p>
    <w:p w14:paraId="40225B15">
      <w:pPr>
        <w:pStyle w:val="8"/>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6636CD36">
      <w:pPr>
        <w:pStyle w:val="8"/>
        <w:spacing w:beforeAutospacing="0" w:afterAutospacing="0"/>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3CC8D874">
      <w:pPr>
        <w:pStyle w:val="8"/>
        <w:spacing w:beforeAutospacing="0" w:afterAutospacing="0"/>
        <w:jc w:val="both"/>
        <w:rPr>
          <w:highlight w:val="none"/>
        </w:rPr>
      </w:pPr>
      <w:r>
        <w:rPr>
          <w:highlight w:val="none"/>
        </w:rPr>
        <w:t> </w:t>
      </w:r>
    </w:p>
    <w:p w14:paraId="7F3368D2">
      <w:pPr>
        <w:pStyle w:val="8"/>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7448B83F">
      <w:pPr>
        <w:pStyle w:val="8"/>
        <w:spacing w:beforeAutospacing="0" w:afterAutospacing="0" w:line="0" w:lineRule="atLeast"/>
        <w:jc w:val="both"/>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w:t>
      </w:r>
    </w:p>
    <w:p w14:paraId="67A6C76F">
      <w:pPr>
        <w:pStyle w:val="8"/>
        <w:spacing w:beforeAutospacing="0" w:afterAutospacing="0" w:line="0" w:lineRule="atLeast"/>
        <w:ind w:firstLine="3092" w:firstLineChars="700"/>
        <w:jc w:val="both"/>
        <w:rPr>
          <w:highlight w:val="none"/>
        </w:rPr>
      </w:pPr>
      <w:r>
        <w:rPr>
          <w:rFonts w:hint="eastAsia" w:ascii="宋体" w:hAnsi="宋体" w:eastAsia="宋体" w:cs="宋体"/>
          <w:b/>
          <w:color w:val="000000"/>
          <w:sz w:val="44"/>
          <w:szCs w:val="44"/>
          <w:highlight w:val="none"/>
        </w:rPr>
        <w:t xml:space="preserve"> 声  明</w:t>
      </w:r>
    </w:p>
    <w:p w14:paraId="45A26DB1">
      <w:pPr>
        <w:pStyle w:val="8"/>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44C50332">
      <w:pPr>
        <w:spacing w:line="360" w:lineRule="auto"/>
        <w:ind w:firstLine="560"/>
        <w:jc w:val="left"/>
        <w:rPr>
          <w:rFonts w:hint="default" w:ascii="Calibri" w:hAnsi="Calibri" w:eastAsia="Arial" w:cs="Times New Roman"/>
          <w:kern w:val="0"/>
          <w:sz w:val="24"/>
          <w:szCs w:val="24"/>
        </w:rPr>
      </w:pPr>
      <w:r>
        <w:rPr>
          <w:sz w:val="24"/>
          <w:szCs w:val="24"/>
          <w:highlight w:val="none"/>
        </w:rPr>
        <w:t> </w:t>
      </w:r>
      <w:r>
        <w:rPr>
          <w:rFonts w:hint="eastAsia" w:ascii="Calibri" w:hAnsi="Calibri" w:eastAsia="Arial" w:cs="Times New Roman"/>
          <w:kern w:val="0"/>
          <w:sz w:val="24"/>
          <w:szCs w:val="24"/>
        </w:rPr>
        <w:t>企业名称（加盖CA电子公章）：</w:t>
      </w:r>
    </w:p>
    <w:p w14:paraId="72A3C215">
      <w:pPr>
        <w:spacing w:line="360" w:lineRule="auto"/>
        <w:ind w:firstLine="560"/>
        <w:jc w:val="left"/>
        <w:rPr>
          <w:rFonts w:hint="default" w:ascii="Calibri" w:hAnsi="Calibri" w:eastAsia="Arial" w:cs="Times New Roman"/>
          <w:kern w:val="0"/>
          <w:sz w:val="24"/>
          <w:szCs w:val="24"/>
        </w:rPr>
      </w:pPr>
      <w:r>
        <w:rPr>
          <w:rFonts w:hint="eastAsia" w:ascii="Calibri" w:hAnsi="Calibri" w:eastAsia="Arial" w:cs="Times New Roman"/>
          <w:kern w:val="0"/>
          <w:sz w:val="24"/>
          <w:szCs w:val="24"/>
        </w:rPr>
        <w:t xml:space="preserve"> </w:t>
      </w:r>
    </w:p>
    <w:p w14:paraId="7EE854E3">
      <w:pPr>
        <w:pStyle w:val="8"/>
        <w:spacing w:beforeAutospacing="0" w:afterAutospacing="0"/>
        <w:jc w:val="both"/>
        <w:rPr>
          <w:sz w:val="24"/>
          <w:szCs w:val="24"/>
          <w:highlight w:val="none"/>
        </w:rPr>
      </w:pPr>
      <w:r>
        <w:rPr>
          <w:rFonts w:hint="eastAsia" w:ascii="Calibri" w:hAnsi="Calibri" w:eastAsia="Arial" w:cs="Times New Roman"/>
          <w:kern w:val="0"/>
          <w:sz w:val="24"/>
          <w:szCs w:val="24"/>
        </w:rPr>
        <w:t xml:space="preserve">         年    月    日</w:t>
      </w:r>
    </w:p>
    <w:p w14:paraId="02A985DB">
      <w:pPr>
        <w:pStyle w:val="8"/>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64A7199A">
      <w:pPr>
        <w:pStyle w:val="8"/>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151D0F8F">
      <w:pPr>
        <w:pStyle w:val="8"/>
        <w:spacing w:beforeAutospacing="0" w:afterAutospacing="0"/>
        <w:jc w:val="center"/>
        <w:rPr>
          <w:rFonts w:ascii="黑体" w:hAnsi="宋体" w:eastAsia="黑体" w:cs="黑体"/>
          <w:i/>
          <w:color w:val="000000"/>
          <w:sz w:val="32"/>
          <w:szCs w:val="32"/>
          <w:highlight w:val="none"/>
          <w:u w:val="single"/>
        </w:rPr>
      </w:pPr>
      <w:bookmarkStart w:id="209" w:name="_Toc120614284"/>
    </w:p>
    <w:p w14:paraId="1CEC30E9">
      <w:pPr>
        <w:pStyle w:val="8"/>
        <w:spacing w:beforeAutospacing="0" w:afterAutospacing="0"/>
        <w:jc w:val="center"/>
        <w:rPr>
          <w:highlight w:val="none"/>
        </w:rPr>
      </w:pPr>
      <w:r>
        <w:rPr>
          <w:rFonts w:hint="eastAsia" w:ascii="黑体" w:hAnsi="宋体" w:eastAsia="黑体" w:cs="黑体"/>
          <w:i/>
          <w:color w:val="000000"/>
          <w:sz w:val="32"/>
          <w:szCs w:val="32"/>
          <w:highlight w:val="none"/>
          <w:u w:val="single"/>
        </w:rPr>
        <w:t>七、法定代表人身份证明书及法人授权书</w:t>
      </w:r>
    </w:p>
    <w:p w14:paraId="485ED09C">
      <w:pPr>
        <w:widowControl w:val="0"/>
        <w:spacing w:line="360" w:lineRule="auto"/>
        <w:ind w:firstLine="0"/>
        <w:jc w:val="center"/>
        <w:rPr>
          <w:rFonts w:hint="default" w:ascii="Arial" w:hAnsi="Arial" w:eastAsia="宋体" w:cs="仿宋"/>
          <w:b/>
          <w:sz w:val="28"/>
          <w:szCs w:val="24"/>
        </w:rPr>
      </w:pPr>
      <w:bookmarkStart w:id="210" w:name="_Toc174368680"/>
      <w:bookmarkStart w:id="211" w:name="_Hlt26955070"/>
      <w:bookmarkStart w:id="212" w:name="_格式3__银行出具的资信证明"/>
      <w:bookmarkStart w:id="213" w:name="_Hlt26671380"/>
      <w:r>
        <w:rPr>
          <w:rFonts w:hint="eastAsia" w:ascii="Arial" w:hAnsi="Arial" w:eastAsia="宋体" w:cs="仿宋"/>
          <w:b/>
          <w:sz w:val="28"/>
          <w:szCs w:val="24"/>
        </w:rPr>
        <w:t>法定代表人身份证明书</w:t>
      </w:r>
      <w:bookmarkEnd w:id="210"/>
    </w:p>
    <w:p w14:paraId="37237582">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Calibri" w:hAnsi="Calibri" w:eastAsia="Arial" w:cs="Times New Roman"/>
          <w:sz w:val="24"/>
          <w:szCs w:val="21"/>
        </w:rPr>
      </w:pPr>
      <w:r>
        <w:rPr>
          <w:rFonts w:hint="eastAsia" w:ascii="Calibri" w:hAnsi="Calibri" w:eastAsia="Arial" w:cs="Times New Roman"/>
          <w:sz w:val="24"/>
          <w:szCs w:val="21"/>
          <w:u w:val="single"/>
        </w:rPr>
        <w:t xml:space="preserve">                        </w:t>
      </w:r>
      <w:r>
        <w:rPr>
          <w:rFonts w:hint="eastAsia" w:ascii="Calibri" w:hAnsi="Calibri" w:eastAsia="Arial" w:cs="Times New Roman"/>
          <w:sz w:val="24"/>
          <w:szCs w:val="21"/>
        </w:rPr>
        <w:t>：（采购人名称）</w:t>
      </w:r>
    </w:p>
    <w:p w14:paraId="168E1E7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rPr>
      </w:pPr>
      <w:r>
        <w:rPr>
          <w:rFonts w:hint="eastAsia" w:ascii="Calibri" w:hAnsi="Calibri" w:eastAsia="Arial" w:cs="Times New Roman"/>
          <w:sz w:val="24"/>
          <w:szCs w:val="21"/>
          <w:u w:val="single"/>
        </w:rPr>
        <w:t xml:space="preserve">  （法定代表人姓名） </w:t>
      </w:r>
      <w:r>
        <w:rPr>
          <w:rFonts w:hint="eastAsia" w:ascii="Calibri" w:hAnsi="Calibri" w:eastAsia="Arial" w:cs="Times New Roman"/>
          <w:sz w:val="24"/>
          <w:szCs w:val="21"/>
        </w:rPr>
        <w:t>在</w:t>
      </w:r>
      <w:r>
        <w:rPr>
          <w:rFonts w:hint="eastAsia" w:ascii="Calibri" w:hAnsi="Calibri" w:eastAsia="Arial" w:cs="Times New Roman"/>
          <w:sz w:val="24"/>
          <w:szCs w:val="21"/>
          <w:u w:val="single"/>
        </w:rPr>
        <w:t xml:space="preserve">     （投标人名称）      </w:t>
      </w:r>
      <w:r>
        <w:rPr>
          <w:rFonts w:hint="eastAsia" w:ascii="Calibri" w:hAnsi="Calibri" w:eastAsia="Arial" w:cs="Times New Roman"/>
          <w:sz w:val="24"/>
          <w:szCs w:val="21"/>
        </w:rPr>
        <w:t>任（职务名称）职务，是</w:t>
      </w:r>
      <w:r>
        <w:rPr>
          <w:rFonts w:hint="eastAsia" w:ascii="Calibri" w:hAnsi="Calibri" w:eastAsia="Arial" w:cs="Times New Roman"/>
          <w:sz w:val="24"/>
          <w:szCs w:val="21"/>
          <w:u w:val="single"/>
        </w:rPr>
        <w:t xml:space="preserve">（投标人名称）   </w:t>
      </w:r>
      <w:r>
        <w:rPr>
          <w:rFonts w:hint="eastAsia" w:ascii="Calibri" w:hAnsi="Calibri" w:eastAsia="Arial" w:cs="Times New Roman"/>
          <w:sz w:val="24"/>
          <w:szCs w:val="21"/>
        </w:rPr>
        <w:t>的法定代表人，联系电话（手机号码）</w:t>
      </w:r>
      <w:r>
        <w:rPr>
          <w:rFonts w:hint="eastAsia" w:ascii="Calibri" w:hAnsi="Calibri" w:eastAsia="Arial" w:cs="Times New Roman"/>
          <w:sz w:val="24"/>
          <w:szCs w:val="21"/>
          <w:u w:val="single"/>
        </w:rPr>
        <w:t xml:space="preserve">                </w:t>
      </w:r>
      <w:r>
        <w:rPr>
          <w:rFonts w:hint="eastAsia" w:ascii="Calibri" w:hAnsi="Calibri" w:eastAsia="Arial" w:cs="Times New Roman"/>
          <w:sz w:val="24"/>
          <w:szCs w:val="21"/>
        </w:rPr>
        <w:t>。</w:t>
      </w:r>
    </w:p>
    <w:p w14:paraId="43A473D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rPr>
      </w:pPr>
    </w:p>
    <w:p w14:paraId="41E4C4B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rPr>
      </w:pPr>
      <w:r>
        <w:rPr>
          <w:rFonts w:hint="eastAsia" w:ascii="Calibri" w:hAnsi="Calibri" w:eastAsia="Arial" w:cs="Times New Roman"/>
          <w:sz w:val="24"/>
          <w:szCs w:val="21"/>
        </w:rPr>
        <w:t>特此证明。</w:t>
      </w:r>
    </w:p>
    <w:p w14:paraId="1766F46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rPr>
      </w:pPr>
    </w:p>
    <w:p w14:paraId="3D0E980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rPr>
      </w:pPr>
    </w:p>
    <w:p w14:paraId="1BC47536">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u w:val="single"/>
        </w:rPr>
      </w:pPr>
      <w:r>
        <w:rPr>
          <w:rFonts w:hint="eastAsia" w:ascii="Calibri" w:hAnsi="Calibri" w:eastAsia="Arial" w:cs="Times New Roman"/>
          <w:sz w:val="24"/>
          <w:szCs w:val="21"/>
        </w:rPr>
        <w:t>投标人（盖单位公章）：</w:t>
      </w:r>
      <w:r>
        <w:rPr>
          <w:rFonts w:hint="eastAsia" w:ascii="Calibri" w:hAnsi="Calibri" w:eastAsia="Arial" w:cs="Times New Roman"/>
          <w:sz w:val="24"/>
          <w:szCs w:val="21"/>
          <w:u w:val="single"/>
        </w:rPr>
        <w:t xml:space="preserve"> </w:t>
      </w:r>
      <w:r>
        <w:rPr>
          <w:rFonts w:hint="default" w:ascii="Calibri" w:hAnsi="Calibri" w:eastAsia="Arial" w:cs="Times New Roman"/>
          <w:sz w:val="24"/>
          <w:szCs w:val="21"/>
          <w:u w:val="single"/>
        </w:rPr>
        <w:t xml:space="preserve">                        </w:t>
      </w:r>
    </w:p>
    <w:p w14:paraId="5164FB0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rPr>
      </w:pPr>
    </w:p>
    <w:p w14:paraId="1120A93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rPr>
      </w:pPr>
      <w:r>
        <w:rPr>
          <w:rFonts w:hint="eastAsia" w:ascii="Calibri" w:hAnsi="Calibri" w:eastAsia="Arial" w:cs="Times New Roman"/>
          <w:sz w:val="24"/>
          <w:szCs w:val="21"/>
        </w:rPr>
        <w:t xml:space="preserve">          年    月    日 </w:t>
      </w:r>
    </w:p>
    <w:p w14:paraId="0E8A516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Calibri" w:hAnsi="Calibri" w:eastAsia="Arial" w:cs="Times New Roman"/>
          <w:sz w:val="24"/>
          <w:szCs w:val="21"/>
        </w:rPr>
      </w:pPr>
    </w:p>
    <w:p w14:paraId="7A809B2B">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Calibri" w:hAnsi="Calibri" w:eastAsia="Arial" w:cs="Times New Roman"/>
          <w:sz w:val="24"/>
          <w:szCs w:val="21"/>
        </w:rPr>
      </w:pPr>
      <w:r>
        <w:rPr>
          <w:rFonts w:hint="eastAsia" w:ascii="Calibri" w:hAnsi="Calibri" w:eastAsia="Arial" w:cs="Times New Roman"/>
          <w:sz w:val="24"/>
          <w:szCs w:val="21"/>
        </w:rPr>
        <w:t>（附：法定代表人身份证正反面复印件）</w:t>
      </w:r>
    </w:p>
    <w:p w14:paraId="697124E0">
      <w:pPr>
        <w:rPr>
          <w:rFonts w:hint="eastAsia" w:ascii="Calibri" w:hAnsi="Calibri" w:eastAsia="Arial" w:cs="Times New Roman"/>
          <w:sz w:val="24"/>
          <w:szCs w:val="21"/>
        </w:rPr>
      </w:pPr>
      <w:r>
        <w:rPr>
          <w:rFonts w:hint="eastAsia" w:ascii="Calibri" w:hAnsi="Calibri" w:eastAsia="Arial" w:cs="Times New Roman"/>
          <w:sz w:val="24"/>
          <w:szCs w:val="21"/>
        </w:rPr>
        <w:br w:type="page"/>
      </w:r>
    </w:p>
    <w:p w14:paraId="10968A96">
      <w:pPr>
        <w:widowControl w:val="0"/>
        <w:spacing w:line="360" w:lineRule="auto"/>
        <w:ind w:firstLine="0"/>
        <w:jc w:val="center"/>
        <w:rPr>
          <w:rFonts w:hint="default" w:ascii="Arial" w:hAnsi="Arial" w:eastAsia="宋体" w:cs="仿宋"/>
          <w:b/>
          <w:sz w:val="28"/>
          <w:szCs w:val="24"/>
        </w:rPr>
      </w:pPr>
      <w:bookmarkStart w:id="214" w:name="_Toc174368681"/>
      <w:r>
        <w:rPr>
          <w:rFonts w:hint="eastAsia" w:ascii="Arial" w:hAnsi="Arial" w:eastAsia="宋体" w:cs="仿宋"/>
          <w:b/>
          <w:sz w:val="28"/>
          <w:szCs w:val="24"/>
        </w:rPr>
        <w:t>法人授权书</w:t>
      </w:r>
      <w:bookmarkEnd w:id="214"/>
    </w:p>
    <w:p w14:paraId="263D08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r>
        <w:rPr>
          <w:rFonts w:hint="default" w:ascii="Times New Roman" w:hAnsi="Times New Roman" w:eastAsia="Arial" w:cs="Times New Roman"/>
          <w:color w:val="000000"/>
          <w:kern w:val="0"/>
          <w:sz w:val="24"/>
          <w:szCs w:val="22"/>
        </w:rPr>
        <w:t>本授权书声明：____________（投标人名称）授权________________（被授权人的姓名）为我方就JSZC-</w:t>
      </w:r>
      <w:r>
        <w:rPr>
          <w:rFonts w:hint="default" w:ascii="Times New Roman" w:hAnsi="Times New Roman" w:eastAsia="Arial" w:cs="Times New Roman"/>
          <w:color w:val="000000"/>
          <w:kern w:val="0"/>
          <w:sz w:val="24"/>
          <w:szCs w:val="22"/>
          <w:u w:val="single"/>
        </w:rPr>
        <w:t xml:space="preserve">            </w:t>
      </w:r>
      <w:r>
        <w:rPr>
          <w:rFonts w:hint="default" w:ascii="Times New Roman" w:hAnsi="Times New Roman" w:eastAsia="Arial" w:cs="Times New Roman"/>
          <w:color w:val="000000"/>
          <w:kern w:val="0"/>
          <w:sz w:val="24"/>
          <w:szCs w:val="22"/>
        </w:rPr>
        <w:t>号项目采购活动的合法代理人，以本单位名义全权处理一切与该项目采购有关的事务。</w:t>
      </w:r>
    </w:p>
    <w:p w14:paraId="7E342D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r>
        <w:rPr>
          <w:rFonts w:hint="default" w:ascii="Times New Roman" w:hAnsi="Times New Roman" w:eastAsia="Arial" w:cs="Times New Roman"/>
          <w:color w:val="000000"/>
          <w:kern w:val="0"/>
          <w:sz w:val="24"/>
          <w:szCs w:val="22"/>
        </w:rPr>
        <w:t>本授权书于______年____月____日起生效，特此声明。</w:t>
      </w:r>
    </w:p>
    <w:p w14:paraId="57A536E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r>
        <w:rPr>
          <w:rFonts w:hint="default" w:ascii="Times New Roman" w:hAnsi="Times New Roman" w:eastAsia="Arial" w:cs="Times New Roman"/>
          <w:color w:val="000000"/>
          <w:kern w:val="0"/>
          <w:sz w:val="24"/>
          <w:szCs w:val="22"/>
        </w:rPr>
        <w:t>被授权人身份证号码：</w:t>
      </w:r>
      <w:r>
        <w:rPr>
          <w:rFonts w:hint="default" w:ascii="Times New Roman" w:hAnsi="Times New Roman" w:eastAsia="Arial" w:cs="Times New Roman"/>
          <w:color w:val="000000"/>
          <w:kern w:val="0"/>
          <w:sz w:val="24"/>
          <w:szCs w:val="22"/>
          <w:u w:val="single"/>
        </w:rPr>
        <w:t xml:space="preserve">                              </w:t>
      </w:r>
    </w:p>
    <w:p w14:paraId="77211E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r>
        <w:rPr>
          <w:rFonts w:hint="default" w:ascii="Times New Roman" w:hAnsi="Times New Roman" w:eastAsia="Arial" w:cs="Times New Roman"/>
          <w:color w:val="000000"/>
          <w:kern w:val="0"/>
          <w:sz w:val="24"/>
          <w:szCs w:val="22"/>
        </w:rPr>
        <w:t>被授权人联系电话：（手机）</w:t>
      </w:r>
      <w:r>
        <w:rPr>
          <w:rFonts w:hint="default" w:ascii="Times New Roman" w:hAnsi="Times New Roman" w:eastAsia="Arial" w:cs="Times New Roman"/>
          <w:color w:val="000000"/>
          <w:kern w:val="0"/>
          <w:sz w:val="24"/>
          <w:szCs w:val="22"/>
          <w:u w:val="single"/>
        </w:rPr>
        <w:t xml:space="preserve">                          </w:t>
      </w:r>
    </w:p>
    <w:p w14:paraId="1AAA7A1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Arial" w:cs="Times New Roman"/>
          <w:color w:val="000000"/>
          <w:kern w:val="0"/>
          <w:sz w:val="24"/>
          <w:szCs w:val="22"/>
          <w:u w:val="single"/>
        </w:rPr>
      </w:pPr>
      <w:r>
        <w:rPr>
          <w:rFonts w:hint="eastAsia" w:ascii="Times New Roman" w:hAnsi="Times New Roman" w:eastAsia="Arial" w:cs="Times New Roman"/>
          <w:color w:val="000000"/>
          <w:kern w:val="0"/>
          <w:sz w:val="24"/>
          <w:szCs w:val="22"/>
        </w:rPr>
        <w:t>法定代表人或被授权人（签字或盖章）：</w:t>
      </w:r>
      <w:r>
        <w:rPr>
          <w:rFonts w:hint="eastAsia" w:ascii="Times New Roman" w:hAnsi="Times New Roman" w:eastAsia="Arial" w:cs="Times New Roman"/>
          <w:color w:val="000000"/>
          <w:kern w:val="0"/>
          <w:sz w:val="24"/>
          <w:szCs w:val="22"/>
          <w:u w:val="single"/>
        </w:rPr>
        <w:t xml:space="preserve"> </w:t>
      </w:r>
      <w:r>
        <w:rPr>
          <w:rFonts w:hint="default" w:ascii="Times New Roman" w:hAnsi="Times New Roman" w:eastAsia="Arial" w:cs="Times New Roman"/>
          <w:color w:val="000000"/>
          <w:kern w:val="0"/>
          <w:sz w:val="24"/>
          <w:szCs w:val="22"/>
          <w:u w:val="single"/>
        </w:rPr>
        <w:t xml:space="preserve">                </w:t>
      </w:r>
    </w:p>
    <w:p w14:paraId="0E8574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r>
        <w:rPr>
          <w:rFonts w:hint="default" w:ascii="Times New Roman" w:hAnsi="Times New Roman" w:eastAsia="Arial" w:cs="Times New Roman"/>
          <w:color w:val="000000"/>
          <w:kern w:val="0"/>
          <w:sz w:val="24"/>
          <w:szCs w:val="22"/>
        </w:rPr>
        <w:t>授权单位名称：</w:t>
      </w:r>
      <w:r>
        <w:rPr>
          <w:rFonts w:hint="default" w:ascii="Times New Roman" w:hAnsi="Times New Roman" w:eastAsia="Arial" w:cs="Times New Roman"/>
          <w:color w:val="000000"/>
          <w:kern w:val="0"/>
          <w:sz w:val="24"/>
          <w:szCs w:val="22"/>
          <w:u w:val="single"/>
        </w:rPr>
        <w:t>（加盖CA电子公章）</w:t>
      </w:r>
    </w:p>
    <w:p w14:paraId="7204E7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r>
        <w:rPr>
          <w:rFonts w:hint="default" w:ascii="Times New Roman" w:hAnsi="Times New Roman" w:eastAsia="Arial" w:cs="Times New Roman"/>
          <w:color w:val="000000"/>
          <w:kern w:val="0"/>
          <w:sz w:val="24"/>
          <w:szCs w:val="22"/>
        </w:rPr>
        <w:t>单位地址：</w:t>
      </w:r>
      <w:r>
        <w:rPr>
          <w:rFonts w:hint="default" w:ascii="Times New Roman" w:hAnsi="Times New Roman" w:eastAsia="Arial" w:cs="Times New Roman"/>
          <w:color w:val="000000"/>
          <w:kern w:val="0"/>
          <w:sz w:val="24"/>
          <w:szCs w:val="22"/>
          <w:u w:val="single"/>
        </w:rPr>
        <w:t xml:space="preserve">                                         </w:t>
      </w:r>
    </w:p>
    <w:p w14:paraId="0BFB23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r>
        <w:rPr>
          <w:rFonts w:hint="default" w:ascii="Times New Roman" w:hAnsi="Times New Roman" w:eastAsia="Arial" w:cs="Times New Roman"/>
          <w:color w:val="000000"/>
          <w:kern w:val="0"/>
          <w:sz w:val="24"/>
          <w:szCs w:val="22"/>
        </w:rPr>
        <w:t>日期：</w:t>
      </w:r>
      <w:r>
        <w:rPr>
          <w:rFonts w:hint="default" w:ascii="Times New Roman" w:hAnsi="Times New Roman" w:eastAsia="Arial" w:cs="Times New Roman"/>
          <w:color w:val="000000"/>
          <w:kern w:val="0"/>
          <w:sz w:val="24"/>
          <w:szCs w:val="22"/>
          <w:u w:val="single"/>
        </w:rPr>
        <w:t xml:space="preserve">                                         </w:t>
      </w:r>
    </w:p>
    <w:p w14:paraId="4209419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r>
        <w:rPr>
          <w:rFonts w:hint="eastAsia" w:ascii="Calibri" w:hAnsi="Calibri" w:eastAsia="Arial" w:cs="Times New Roman"/>
          <w:kern w:val="0"/>
          <w:sz w:val="24"/>
          <w:szCs w:val="22"/>
        </w:rPr>
        <w:t>（附：被授权人身份证正反面复印件）</w:t>
      </w:r>
    </w:p>
    <w:p w14:paraId="44607B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p>
    <w:p w14:paraId="77B30D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Arial" w:cs="Times New Roman"/>
          <w:kern w:val="0"/>
          <w:sz w:val="24"/>
          <w:szCs w:val="22"/>
        </w:rPr>
      </w:pPr>
    </w:p>
    <w:p w14:paraId="0BBBB6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2"/>
        </w:rPr>
      </w:pPr>
      <w:r>
        <w:rPr>
          <w:rFonts w:hint="eastAsia" w:ascii="宋体" w:hAnsi="宋体" w:eastAsia="宋体" w:cs="宋体"/>
          <w:kern w:val="0"/>
          <w:sz w:val="24"/>
          <w:szCs w:val="22"/>
        </w:rPr>
        <w:t>注：1、授权人须为本单位正式职工并提供投标人为被授权人缴纳的社会养老保险证明。</w:t>
      </w:r>
    </w:p>
    <w:p w14:paraId="50EE2C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kern w:val="0"/>
          <w:sz w:val="24"/>
          <w:szCs w:val="22"/>
        </w:rPr>
      </w:pPr>
      <w:r>
        <w:rPr>
          <w:rFonts w:hint="eastAsia" w:ascii="宋体" w:hAnsi="宋体" w:eastAsia="宋体" w:cs="宋体"/>
          <w:kern w:val="0"/>
          <w:sz w:val="24"/>
          <w:szCs w:val="22"/>
        </w:rPr>
        <w:t>2、代表人亲自参加时无需提供授权书及保险证明</w:t>
      </w:r>
    </w:p>
    <w:p w14:paraId="05368D7F">
      <w:pPr>
        <w:pStyle w:val="8"/>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Calibri" w:hAnsi="Calibri" w:eastAsia="Arial" w:cs="Times New Roman"/>
          <w:sz w:val="24"/>
          <w:szCs w:val="21"/>
        </w:rPr>
      </w:pPr>
    </w:p>
    <w:p w14:paraId="42465921">
      <w:pPr>
        <w:pStyle w:val="8"/>
        <w:keepNext/>
        <w:keepLines/>
        <w:spacing w:before="260" w:beforeAutospacing="0" w:after="260" w:afterAutospacing="0" w:line="415" w:lineRule="auto"/>
        <w:jc w:val="center"/>
        <w:rPr>
          <w:highlight w:val="none"/>
        </w:rPr>
      </w:pPr>
      <w:r>
        <w:rPr>
          <w:rFonts w:hint="eastAsia" w:ascii="宋体" w:hAnsi="宋体" w:eastAsia="宋体" w:cs="宋体"/>
          <w:b/>
          <w:color w:val="000000"/>
          <w:highlight w:val="none"/>
        </w:rPr>
        <w:br w:type="page"/>
      </w:r>
      <w:r>
        <w:rPr>
          <w:rFonts w:hint="eastAsia" w:ascii="黑体" w:hAnsi="宋体" w:eastAsia="黑体" w:cs="黑体"/>
          <w:b/>
          <w:i/>
          <w:color w:val="000000"/>
          <w:sz w:val="32"/>
          <w:szCs w:val="32"/>
          <w:highlight w:val="none"/>
          <w:u w:val="single"/>
        </w:rPr>
        <w:t>八、投标函</w:t>
      </w:r>
    </w:p>
    <w:p w14:paraId="11974A0B">
      <w:pPr>
        <w:pStyle w:val="8"/>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采购人</w:t>
      </w:r>
      <w:r>
        <w:rPr>
          <w:rFonts w:hint="eastAsia" w:ascii="宋体" w:hAnsi="宋体" w:eastAsia="宋体" w:cs="宋体"/>
          <w:color w:val="000000"/>
          <w:highlight w:val="none"/>
          <w:lang w:eastAsia="zh-CN"/>
        </w:rPr>
        <w:t>）</w:t>
      </w:r>
    </w:p>
    <w:p w14:paraId="4AE4A4D9">
      <w:pPr>
        <w:pStyle w:val="8"/>
        <w:spacing w:beforeAutospacing="0" w:afterAutospacing="0" w:line="0" w:lineRule="atLeast"/>
        <w:ind w:firstLine="480"/>
        <w:rPr>
          <w:highlight w:val="none"/>
        </w:rPr>
      </w:pPr>
      <w:r>
        <w:rPr>
          <w:rFonts w:hint="eastAsia" w:ascii="宋体" w:hAnsi="宋体" w:eastAsia="宋体" w:cs="宋体"/>
          <w:color w:val="000000"/>
          <w:highlight w:val="none"/>
        </w:rPr>
        <w:t>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号招标文件，正式授权下述签字人_________________(姓名)代表我方______________（投标人的名称），全权处理本次项目投标的有关事宜。</w:t>
      </w:r>
    </w:p>
    <w:p w14:paraId="63143E90">
      <w:pPr>
        <w:pStyle w:val="8"/>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208D0767">
      <w:pPr>
        <w:pStyle w:val="8"/>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1.按招标文件规定的各项要求，向买方提供所需货物（包含与货物相关的服务）。</w:t>
      </w:r>
    </w:p>
    <w:p w14:paraId="6AE3C05B">
      <w:pPr>
        <w:pStyle w:val="8"/>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674E47C7">
      <w:pPr>
        <w:pStyle w:val="8"/>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283A4DCD">
      <w:pPr>
        <w:pStyle w:val="8"/>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6D012F91">
      <w:pPr>
        <w:pStyle w:val="8"/>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6E55D021">
      <w:pPr>
        <w:pStyle w:val="8"/>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70E91395">
      <w:pPr>
        <w:pStyle w:val="8"/>
        <w:spacing w:beforeAutospacing="0" w:afterAutospacing="0" w:line="0" w:lineRule="atLeast"/>
        <w:ind w:left="425"/>
        <w:rPr>
          <w:highlight w:val="none"/>
        </w:rPr>
      </w:pPr>
      <w:r>
        <w:rPr>
          <w:rFonts w:hint="eastAsia" w:ascii="宋体" w:hAnsi="宋体" w:eastAsia="宋体" w:cs="宋体"/>
          <w:color w:val="000000"/>
          <w:highlight w:val="none"/>
        </w:rPr>
        <w:t>7.与本投标有关的正式通讯地址为：</w:t>
      </w:r>
    </w:p>
    <w:p w14:paraId="3EF35FFD">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0ABCF285">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321F11A4">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11BBD12B">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7530FB6D">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45C5F35C">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359939A7">
      <w:pPr>
        <w:pStyle w:val="8"/>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242118EF">
      <w:pPr>
        <w:pStyle w:val="8"/>
        <w:spacing w:beforeAutospacing="0" w:afterAutospacing="0" w:line="0" w:lineRule="atLeast"/>
        <w:ind w:firstLine="240"/>
        <w:jc w:val="center"/>
        <w:rPr>
          <w:highlight w:val="none"/>
        </w:rPr>
      </w:pPr>
      <w:r>
        <w:rPr>
          <w:highlight w:val="none"/>
        </w:rPr>
        <w:t> </w:t>
      </w:r>
    </w:p>
    <w:p w14:paraId="5FF63AF8">
      <w:pPr>
        <w:pStyle w:val="8"/>
        <w:spacing w:beforeAutospacing="0" w:afterAutospacing="0" w:line="0" w:lineRule="atLeast"/>
        <w:ind w:firstLine="240"/>
        <w:jc w:val="center"/>
        <w:rPr>
          <w:highlight w:val="none"/>
        </w:rPr>
      </w:pPr>
      <w:r>
        <w:rPr>
          <w:highlight w:val="none"/>
        </w:rPr>
        <w:t> </w:t>
      </w:r>
    </w:p>
    <w:p w14:paraId="09AF5CA3">
      <w:pPr>
        <w:pStyle w:val="8"/>
        <w:spacing w:beforeAutospacing="0" w:afterAutospacing="0" w:line="0" w:lineRule="atLeast"/>
        <w:ind w:firstLine="240"/>
        <w:jc w:val="center"/>
        <w:rPr>
          <w:highlight w:val="none"/>
        </w:rPr>
      </w:pPr>
      <w:r>
        <w:rPr>
          <w:highlight w:val="none"/>
        </w:rPr>
        <w:t> </w:t>
      </w:r>
    </w:p>
    <w:p w14:paraId="212BE2DE">
      <w:pPr>
        <w:pStyle w:val="8"/>
        <w:spacing w:beforeAutospacing="0" w:afterAutospacing="0" w:line="0" w:lineRule="atLeast"/>
        <w:ind w:firstLine="240"/>
        <w:jc w:val="center"/>
        <w:rPr>
          <w:highlight w:val="none"/>
        </w:rPr>
      </w:pPr>
      <w:r>
        <w:rPr>
          <w:highlight w:val="none"/>
        </w:rPr>
        <w:t> </w:t>
      </w:r>
    </w:p>
    <w:p w14:paraId="5F43314E">
      <w:pPr>
        <w:pStyle w:val="8"/>
        <w:spacing w:beforeAutospacing="0" w:afterAutospacing="0" w:line="0" w:lineRule="atLeast"/>
        <w:ind w:firstLine="240"/>
        <w:jc w:val="center"/>
        <w:rPr>
          <w:highlight w:val="none"/>
        </w:rPr>
      </w:pPr>
    </w:p>
    <w:p w14:paraId="62026C5B">
      <w:pPr>
        <w:pStyle w:val="8"/>
        <w:spacing w:beforeAutospacing="0" w:afterAutospacing="0" w:line="0" w:lineRule="atLeast"/>
        <w:ind w:firstLine="240"/>
        <w:jc w:val="center"/>
        <w:rPr>
          <w:highlight w:val="none"/>
        </w:rPr>
      </w:pPr>
    </w:p>
    <w:p w14:paraId="3AAF460A">
      <w:pPr>
        <w:pStyle w:val="8"/>
        <w:spacing w:beforeAutospacing="0" w:afterAutospacing="0" w:line="0" w:lineRule="atLeast"/>
        <w:ind w:firstLine="240"/>
        <w:jc w:val="center"/>
        <w:rPr>
          <w:highlight w:val="none"/>
        </w:rPr>
      </w:pPr>
    </w:p>
    <w:p w14:paraId="3CB4837C">
      <w:pPr>
        <w:pStyle w:val="8"/>
        <w:spacing w:beforeAutospacing="0" w:afterAutospacing="0" w:line="0" w:lineRule="atLeast"/>
        <w:ind w:firstLine="240"/>
        <w:jc w:val="center"/>
        <w:rPr>
          <w:highlight w:val="none"/>
        </w:rPr>
      </w:pPr>
    </w:p>
    <w:p w14:paraId="015F5116">
      <w:pPr>
        <w:pStyle w:val="8"/>
        <w:spacing w:beforeAutospacing="0" w:afterAutospacing="0" w:line="0" w:lineRule="atLeast"/>
        <w:ind w:firstLine="240"/>
        <w:jc w:val="center"/>
        <w:rPr>
          <w:highlight w:val="none"/>
        </w:rPr>
      </w:pPr>
    </w:p>
    <w:p w14:paraId="62F8D512">
      <w:pPr>
        <w:pStyle w:val="8"/>
        <w:spacing w:beforeAutospacing="0" w:afterAutospacing="0" w:line="0" w:lineRule="atLeast"/>
        <w:ind w:firstLine="240"/>
        <w:jc w:val="center"/>
        <w:rPr>
          <w:highlight w:val="none"/>
        </w:rPr>
      </w:pPr>
    </w:p>
    <w:p w14:paraId="17003511">
      <w:pPr>
        <w:pStyle w:val="8"/>
        <w:spacing w:beforeAutospacing="0" w:afterAutospacing="0" w:line="0" w:lineRule="atLeast"/>
        <w:ind w:firstLine="240"/>
        <w:jc w:val="center"/>
        <w:rPr>
          <w:highlight w:val="none"/>
        </w:rPr>
      </w:pPr>
    </w:p>
    <w:p w14:paraId="5412F31A">
      <w:pPr>
        <w:pStyle w:val="8"/>
        <w:spacing w:beforeAutospacing="0" w:afterAutospacing="0" w:line="0" w:lineRule="atLeast"/>
        <w:ind w:firstLine="240"/>
        <w:jc w:val="center"/>
        <w:rPr>
          <w:highlight w:val="none"/>
        </w:rPr>
      </w:pPr>
    </w:p>
    <w:p w14:paraId="1F7E3D04">
      <w:pPr>
        <w:pStyle w:val="8"/>
        <w:spacing w:beforeAutospacing="0" w:afterAutospacing="0" w:line="0" w:lineRule="atLeast"/>
        <w:ind w:firstLine="240"/>
        <w:jc w:val="center"/>
        <w:rPr>
          <w:highlight w:val="none"/>
        </w:rPr>
      </w:pPr>
    </w:p>
    <w:p w14:paraId="340FED64">
      <w:pPr>
        <w:pStyle w:val="8"/>
        <w:spacing w:beforeAutospacing="0" w:afterAutospacing="0" w:line="0" w:lineRule="atLeast"/>
        <w:ind w:firstLine="240"/>
        <w:jc w:val="center"/>
        <w:rPr>
          <w:highlight w:val="none"/>
        </w:rPr>
      </w:pPr>
    </w:p>
    <w:p w14:paraId="4EB3A777">
      <w:pPr>
        <w:pStyle w:val="8"/>
        <w:spacing w:beforeAutospacing="0" w:afterAutospacing="0" w:line="0" w:lineRule="atLeast"/>
        <w:ind w:firstLine="240"/>
        <w:jc w:val="center"/>
        <w:rPr>
          <w:highlight w:val="none"/>
        </w:rPr>
      </w:pPr>
    </w:p>
    <w:p w14:paraId="509B8982">
      <w:pPr>
        <w:pStyle w:val="8"/>
        <w:spacing w:beforeAutospacing="0" w:afterAutospacing="0" w:line="0" w:lineRule="atLeast"/>
        <w:ind w:firstLine="240"/>
        <w:jc w:val="center"/>
        <w:rPr>
          <w:highlight w:val="none"/>
        </w:rPr>
      </w:pPr>
    </w:p>
    <w:p w14:paraId="69D6B82F">
      <w:pPr>
        <w:pStyle w:val="8"/>
        <w:spacing w:beforeAutospacing="0" w:afterAutospacing="0" w:line="0" w:lineRule="atLeast"/>
        <w:ind w:firstLine="240"/>
        <w:jc w:val="center"/>
        <w:rPr>
          <w:highlight w:val="none"/>
        </w:rPr>
      </w:pPr>
      <w:r>
        <w:rPr>
          <w:highlight w:val="none"/>
        </w:rPr>
        <w:t> </w:t>
      </w:r>
    </w:p>
    <w:p w14:paraId="31DBFBD3">
      <w:pPr>
        <w:pStyle w:val="8"/>
        <w:spacing w:beforeAutospacing="0" w:afterAutospacing="0" w:line="0" w:lineRule="atLeast"/>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九、《小微企业声明函》（货物）</w:t>
      </w:r>
    </w:p>
    <w:p w14:paraId="42DE9701">
      <w:pPr>
        <w:numPr>
          <w:ilvl w:val="0"/>
          <w:numId w:val="0"/>
        </w:numPr>
        <w:spacing w:beforeLines="-2147483648" w:beforeAutospacing="0" w:afterLines="-2147483648" w:afterAutospacing="0"/>
        <w:jc w:val="center"/>
        <w:rPr>
          <w:rFonts w:hint="default" w:ascii="Calibri" w:hAnsi="Calibri" w:eastAsia="Arial" w:cs="Times New Roman"/>
          <w:b w:val="0"/>
          <w:bCs/>
          <w:kern w:val="0"/>
          <w:sz w:val="22"/>
          <w:szCs w:val="22"/>
        </w:rPr>
      </w:pPr>
      <w:r>
        <w:rPr>
          <w:rFonts w:hint="eastAsia" w:ascii="黑体" w:hAnsi="宋体" w:eastAsia="黑体" w:cs="黑体"/>
          <w:b w:val="0"/>
          <w:bCs/>
          <w:color w:val="000000"/>
          <w:sz w:val="24"/>
          <w:szCs w:val="24"/>
          <w:highlight w:val="none"/>
        </w:rPr>
        <w:t>（分包号：**）</w:t>
      </w:r>
    </w:p>
    <w:p w14:paraId="15D0FD1C">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本公司（联合体）郑重声明，根据《政府采购促进中小企业发展管理办法》(财库[2020]46号)的规定，本公司（联合体）参加盐城市政府采购人组织的</w:t>
      </w:r>
      <w:r>
        <w:rPr>
          <w:rFonts w:hint="eastAsia" w:ascii="宋体" w:hAnsi="宋体" w:eastAsia="宋体" w:cs="宋体"/>
          <w:color w:val="000000"/>
          <w:kern w:val="0"/>
          <w:sz w:val="24"/>
          <w:szCs w:val="22"/>
          <w:u w:val="single"/>
        </w:rPr>
        <w:t>（单位名称）</w:t>
      </w:r>
      <w:r>
        <w:rPr>
          <w:rFonts w:hint="eastAsia" w:ascii="宋体" w:hAnsi="宋体" w:eastAsia="宋体" w:cs="宋体"/>
          <w:color w:val="000000"/>
          <w:kern w:val="0"/>
          <w:sz w:val="24"/>
          <w:szCs w:val="22"/>
        </w:rPr>
        <w:t>采购编号为</w:t>
      </w:r>
      <w:r>
        <w:rPr>
          <w:rFonts w:hint="eastAsia" w:ascii="宋体" w:hAnsi="宋体" w:eastAsia="宋体" w:cs="宋体"/>
          <w:color w:val="000000"/>
          <w:kern w:val="0"/>
          <w:sz w:val="24"/>
          <w:szCs w:val="22"/>
          <w:u w:val="single"/>
        </w:rPr>
        <w:t>***</w:t>
      </w:r>
      <w:r>
        <w:rPr>
          <w:rFonts w:hint="eastAsia" w:ascii="宋体" w:hAnsi="宋体" w:eastAsia="宋体" w:cs="宋体"/>
          <w:color w:val="000000"/>
          <w:kern w:val="0"/>
          <w:sz w:val="24"/>
          <w:szCs w:val="22"/>
        </w:rPr>
        <w:t>，</w:t>
      </w:r>
      <w:r>
        <w:rPr>
          <w:rFonts w:hint="eastAsia" w:ascii="宋体" w:hAnsi="宋体" w:eastAsia="宋体" w:cs="宋体"/>
          <w:color w:val="000000"/>
          <w:kern w:val="0"/>
          <w:sz w:val="24"/>
          <w:szCs w:val="22"/>
          <w:u w:val="single"/>
        </w:rPr>
        <w:t>（项目名称）（分包号：**）</w:t>
      </w:r>
      <w:r>
        <w:rPr>
          <w:rFonts w:hint="eastAsia" w:ascii="宋体" w:hAnsi="宋体" w:eastAsia="宋体" w:cs="宋体"/>
          <w:color w:val="000000"/>
          <w:kern w:val="0"/>
          <w:sz w:val="24"/>
          <w:szCs w:val="22"/>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3332FFE">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1.</w:t>
      </w:r>
      <w:r>
        <w:rPr>
          <w:rFonts w:hint="eastAsia" w:ascii="宋体" w:hAnsi="宋体" w:eastAsia="宋体" w:cs="宋体"/>
          <w:color w:val="000000"/>
          <w:kern w:val="0"/>
          <w:sz w:val="24"/>
          <w:szCs w:val="22"/>
          <w:u w:val="single"/>
        </w:rPr>
        <w:t>（标的名称）</w:t>
      </w:r>
      <w:r>
        <w:rPr>
          <w:rFonts w:hint="eastAsia" w:ascii="宋体" w:hAnsi="宋体" w:eastAsia="宋体" w:cs="宋体"/>
          <w:i/>
          <w:color w:val="000000"/>
          <w:kern w:val="0"/>
          <w:sz w:val="24"/>
          <w:szCs w:val="22"/>
        </w:rPr>
        <w:t>，</w:t>
      </w:r>
      <w:r>
        <w:rPr>
          <w:rFonts w:hint="eastAsia" w:ascii="宋体" w:hAnsi="宋体" w:eastAsia="宋体" w:cs="宋体"/>
          <w:color w:val="000000"/>
          <w:kern w:val="0"/>
          <w:sz w:val="24"/>
          <w:szCs w:val="22"/>
        </w:rPr>
        <w:t>属于</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行业；制造商为</w:t>
      </w:r>
      <w:r>
        <w:rPr>
          <w:rFonts w:hint="eastAsia" w:ascii="宋体" w:hAnsi="宋体" w:eastAsia="宋体" w:cs="宋体"/>
          <w:color w:val="000000"/>
          <w:kern w:val="0"/>
          <w:sz w:val="24"/>
          <w:szCs w:val="22"/>
          <w:u w:val="single"/>
        </w:rPr>
        <w:t>（企业名称）</w:t>
      </w:r>
      <w:r>
        <w:rPr>
          <w:rFonts w:hint="eastAsia" w:ascii="宋体" w:hAnsi="宋体" w:eastAsia="宋体" w:cs="宋体"/>
          <w:color w:val="000000"/>
          <w:kern w:val="0"/>
          <w:sz w:val="24"/>
          <w:szCs w:val="22"/>
        </w:rPr>
        <w:t>，从业人员</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人，营业收入为</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万元，资产总额为</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万元，属于</w:t>
      </w:r>
      <w:r>
        <w:rPr>
          <w:rFonts w:hint="eastAsia" w:ascii="宋体" w:hAnsi="宋体" w:eastAsia="宋体" w:cs="宋体"/>
          <w:color w:val="000000"/>
          <w:kern w:val="0"/>
          <w:sz w:val="24"/>
          <w:szCs w:val="22"/>
          <w:u w:val="single"/>
        </w:rPr>
        <w:t>（中型企业、小型企业、微型企业）；</w:t>
      </w:r>
    </w:p>
    <w:p w14:paraId="4F60344A">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2.</w:t>
      </w:r>
      <w:r>
        <w:rPr>
          <w:rFonts w:hint="eastAsia" w:ascii="宋体" w:hAnsi="宋体" w:eastAsia="宋体" w:cs="宋体"/>
          <w:color w:val="000000"/>
          <w:kern w:val="0"/>
          <w:sz w:val="24"/>
          <w:szCs w:val="22"/>
          <w:u w:val="single"/>
        </w:rPr>
        <w:t>（标的名称）</w:t>
      </w:r>
      <w:r>
        <w:rPr>
          <w:rFonts w:hint="eastAsia" w:ascii="宋体" w:hAnsi="宋体" w:eastAsia="宋体" w:cs="宋体"/>
          <w:i/>
          <w:color w:val="000000"/>
          <w:kern w:val="0"/>
          <w:sz w:val="24"/>
          <w:szCs w:val="22"/>
        </w:rPr>
        <w:t>，</w:t>
      </w:r>
      <w:r>
        <w:rPr>
          <w:rFonts w:hint="eastAsia" w:ascii="宋体" w:hAnsi="宋体" w:eastAsia="宋体" w:cs="宋体"/>
          <w:color w:val="000000"/>
          <w:kern w:val="0"/>
          <w:sz w:val="24"/>
          <w:szCs w:val="22"/>
        </w:rPr>
        <w:t>属于</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行业；制造商为</w:t>
      </w:r>
      <w:r>
        <w:rPr>
          <w:rFonts w:hint="eastAsia" w:ascii="宋体" w:hAnsi="宋体" w:eastAsia="宋体" w:cs="宋体"/>
          <w:color w:val="000000"/>
          <w:kern w:val="0"/>
          <w:sz w:val="24"/>
          <w:szCs w:val="22"/>
          <w:u w:val="single"/>
        </w:rPr>
        <w:t>（企业名称）</w:t>
      </w:r>
      <w:r>
        <w:rPr>
          <w:rFonts w:hint="eastAsia" w:ascii="宋体" w:hAnsi="宋体" w:eastAsia="宋体" w:cs="宋体"/>
          <w:color w:val="000000"/>
          <w:kern w:val="0"/>
          <w:sz w:val="24"/>
          <w:szCs w:val="22"/>
        </w:rPr>
        <w:t>，从业人员</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人，营业收入为</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万元，资产总额为</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万元，属于</w:t>
      </w:r>
      <w:r>
        <w:rPr>
          <w:rFonts w:hint="eastAsia" w:ascii="宋体" w:hAnsi="宋体" w:eastAsia="宋体" w:cs="宋体"/>
          <w:color w:val="000000"/>
          <w:kern w:val="0"/>
          <w:sz w:val="24"/>
          <w:szCs w:val="22"/>
          <w:u w:val="single"/>
        </w:rPr>
        <w:t>（中型企业、小型企业、微型企业）；</w:t>
      </w:r>
    </w:p>
    <w:p w14:paraId="5503987C">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w:t>
      </w:r>
    </w:p>
    <w:p w14:paraId="65DBDAA5">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以上企业，不属于大企业的分支机构，不存在控股股东为大企业的情形，也不存在与大企业的负责人为同一人的情形。</w:t>
      </w:r>
    </w:p>
    <w:p w14:paraId="2520FD75">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本企业对上述声明内容的真实性负责。如有虚假，将依法承担相应责任</w:t>
      </w:r>
    </w:p>
    <w:p w14:paraId="24CE1AB4">
      <w:pPr>
        <w:spacing w:line="276" w:lineRule="auto"/>
        <w:ind w:firstLine="560"/>
        <w:jc w:val="left"/>
        <w:rPr>
          <w:rFonts w:hint="default" w:ascii="Calibri" w:hAnsi="Calibri" w:eastAsia="Arial" w:cs="Times New Roman"/>
          <w:kern w:val="0"/>
          <w:sz w:val="24"/>
          <w:szCs w:val="22"/>
        </w:rPr>
      </w:pPr>
      <w:r>
        <w:rPr>
          <w:rFonts w:hint="default" w:ascii="Calibri" w:hAnsi="Calibri" w:eastAsia="Arial" w:cs="Times New Roman"/>
          <w:kern w:val="0"/>
          <w:sz w:val="24"/>
          <w:szCs w:val="22"/>
        </w:rPr>
        <w:t> </w:t>
      </w:r>
    </w:p>
    <w:p w14:paraId="141962DF">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企业名称（加盖CA电子公章）：</w:t>
      </w:r>
    </w:p>
    <w:p w14:paraId="31D328D4">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日  期：</w:t>
      </w:r>
    </w:p>
    <w:p w14:paraId="659E2DD0">
      <w:pPr>
        <w:spacing w:line="276" w:lineRule="auto"/>
        <w:ind w:firstLine="560"/>
        <w:jc w:val="left"/>
        <w:rPr>
          <w:rFonts w:hint="default" w:ascii="Calibri" w:hAnsi="Calibri" w:eastAsia="Arial" w:cs="Times New Roman"/>
          <w:kern w:val="0"/>
          <w:sz w:val="24"/>
          <w:szCs w:val="22"/>
        </w:rPr>
      </w:pPr>
      <w:r>
        <w:rPr>
          <w:rFonts w:hint="default" w:ascii="Calibri" w:hAnsi="Calibri" w:eastAsia="Arial" w:cs="Times New Roman"/>
          <w:kern w:val="0"/>
          <w:sz w:val="24"/>
          <w:szCs w:val="22"/>
        </w:rPr>
        <w:t> </w:t>
      </w:r>
    </w:p>
    <w:p w14:paraId="39DE3E0C">
      <w:pPr>
        <w:spacing w:line="276"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备注1：从业人员、营业收入、资产总额填报上一年度数据，无上一年度数据的新成立企业可不填报。</w:t>
      </w:r>
    </w:p>
    <w:p w14:paraId="0126AA70">
      <w:pPr>
        <w:pStyle w:val="8"/>
        <w:widowControl w:val="0"/>
        <w:spacing w:before="0" w:beforeAutospacing="0" w:after="0" w:afterAutospacing="0" w:line="360" w:lineRule="auto"/>
        <w:ind w:firstLine="480"/>
        <w:jc w:val="both"/>
        <w:rPr>
          <w:highlight w:val="none"/>
        </w:rPr>
      </w:pPr>
      <w:r>
        <w:rPr>
          <w:rFonts w:hint="eastAsia" w:ascii="宋体" w:hAnsi="宋体" w:eastAsia="宋体" w:cs="宋体"/>
          <w:color w:val="000000"/>
          <w:kern w:val="0"/>
          <w:sz w:val="24"/>
          <w:szCs w:val="22"/>
        </w:rPr>
        <w:t>备注2：供应商如不提供此声明函，价格将不做相应扣除（如项目全面面向中小企业，则资格审查不通过）。</w:t>
      </w:r>
    </w:p>
    <w:p w14:paraId="059B8A0F">
      <w:pPr>
        <w:pStyle w:val="8"/>
        <w:spacing w:beforeAutospacing="0" w:afterAutospacing="0" w:line="0" w:lineRule="atLeast"/>
        <w:jc w:val="center"/>
        <w:rPr>
          <w:rFonts w:hint="eastAsia" w:ascii="黑体" w:hAnsi="宋体" w:eastAsia="黑体" w:cs="黑体"/>
          <w:b/>
          <w:color w:val="000000"/>
          <w:sz w:val="32"/>
          <w:szCs w:val="32"/>
          <w:highlight w:val="none"/>
        </w:rPr>
      </w:pPr>
    </w:p>
    <w:p w14:paraId="731E1104">
      <w:pPr>
        <w:pStyle w:val="8"/>
        <w:spacing w:beforeAutospacing="0" w:afterAutospacing="0" w:line="0" w:lineRule="atLeast"/>
        <w:jc w:val="center"/>
        <w:rPr>
          <w:rFonts w:hint="eastAsia" w:ascii="黑体" w:hAnsi="宋体" w:eastAsia="黑体" w:cs="黑体"/>
          <w:b/>
          <w:color w:val="000000"/>
          <w:sz w:val="32"/>
          <w:szCs w:val="32"/>
          <w:highlight w:val="none"/>
        </w:rPr>
      </w:pPr>
    </w:p>
    <w:p w14:paraId="0A341F0B">
      <w:pPr>
        <w:pStyle w:val="8"/>
        <w:spacing w:beforeAutospacing="0" w:afterAutospacing="0" w:line="0" w:lineRule="atLeast"/>
        <w:jc w:val="center"/>
        <w:rPr>
          <w:rFonts w:hint="eastAsia" w:ascii="黑体" w:hAnsi="宋体" w:eastAsia="黑体" w:cs="黑体"/>
          <w:b/>
          <w:color w:val="000000"/>
          <w:sz w:val="32"/>
          <w:szCs w:val="32"/>
          <w:highlight w:val="none"/>
        </w:rPr>
      </w:pPr>
    </w:p>
    <w:p w14:paraId="15D8A054">
      <w:pPr>
        <w:pStyle w:val="8"/>
        <w:spacing w:beforeAutospacing="0" w:afterAutospacing="0" w:line="0" w:lineRule="atLeast"/>
        <w:jc w:val="center"/>
        <w:rPr>
          <w:rFonts w:hint="eastAsia" w:ascii="黑体" w:hAnsi="宋体" w:eastAsia="黑体" w:cs="黑体"/>
          <w:b/>
          <w:color w:val="000000"/>
          <w:sz w:val="32"/>
          <w:szCs w:val="32"/>
          <w:highlight w:val="none"/>
        </w:rPr>
      </w:pPr>
    </w:p>
    <w:p w14:paraId="10A65B89">
      <w:pPr>
        <w:pStyle w:val="8"/>
        <w:spacing w:beforeAutospacing="0" w:afterAutospacing="0" w:line="0" w:lineRule="atLeast"/>
        <w:jc w:val="center"/>
        <w:rPr>
          <w:rFonts w:hint="eastAsia" w:ascii="黑体" w:hAnsi="宋体" w:eastAsia="黑体" w:cs="黑体"/>
          <w:b/>
          <w:color w:val="000000"/>
          <w:sz w:val="32"/>
          <w:szCs w:val="32"/>
          <w:highlight w:val="none"/>
        </w:rPr>
      </w:pPr>
    </w:p>
    <w:p w14:paraId="5E0DB0FF">
      <w:pPr>
        <w:pStyle w:val="8"/>
        <w:spacing w:beforeAutospacing="0" w:afterAutospacing="0" w:line="0" w:lineRule="atLeast"/>
        <w:jc w:val="center"/>
        <w:rPr>
          <w:rFonts w:hint="eastAsia" w:ascii="黑体" w:hAnsi="宋体" w:eastAsia="黑体" w:cs="黑体"/>
          <w:b/>
          <w:color w:val="000000"/>
          <w:sz w:val="32"/>
          <w:szCs w:val="32"/>
          <w:highlight w:val="none"/>
        </w:rPr>
      </w:pPr>
    </w:p>
    <w:p w14:paraId="08A6D624">
      <w:pPr>
        <w:pStyle w:val="8"/>
        <w:spacing w:beforeAutospacing="0" w:afterAutospacing="0" w:line="0" w:lineRule="atLeast"/>
        <w:jc w:val="center"/>
        <w:rPr>
          <w:rFonts w:hint="eastAsia" w:ascii="黑体" w:hAnsi="宋体" w:eastAsia="黑体" w:cs="黑体"/>
          <w:b/>
          <w:color w:val="000000"/>
          <w:sz w:val="32"/>
          <w:szCs w:val="32"/>
          <w:highlight w:val="none"/>
        </w:rPr>
      </w:pPr>
    </w:p>
    <w:p w14:paraId="50EA79F7">
      <w:pPr>
        <w:pStyle w:val="8"/>
        <w:spacing w:beforeAutospacing="0" w:afterAutospacing="0" w:line="0" w:lineRule="atLeast"/>
        <w:jc w:val="cente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w:t>
      </w:r>
    </w:p>
    <w:p w14:paraId="4AE64828">
      <w:pPr>
        <w:pStyle w:val="8"/>
        <w:spacing w:beforeAutospacing="0" w:afterAutospacing="0" w:line="0" w:lineRule="atLeast"/>
        <w:jc w:val="center"/>
        <w:rPr>
          <w:rFonts w:hint="eastAsia" w:ascii="黑体" w:hAnsi="宋体" w:eastAsia="黑体" w:cs="黑体"/>
          <w:b/>
          <w:color w:val="000000"/>
          <w:sz w:val="32"/>
          <w:szCs w:val="32"/>
          <w:highlight w:val="none"/>
        </w:rPr>
      </w:pPr>
    </w:p>
    <w:p w14:paraId="46289143">
      <w:pPr>
        <w:pStyle w:val="8"/>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十、残疾人福利性单位声明函（分包号：**）</w:t>
      </w:r>
    </w:p>
    <w:p w14:paraId="7B41EFB3">
      <w:pPr>
        <w:pStyle w:val="8"/>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项目（分包号：**）采购活动提供本单位制造的货物，或者提供其他残疾人福利性单位制造的货物（不包括使用非残疾人福利性单位注册商标的货物）。</w:t>
      </w:r>
    </w:p>
    <w:p w14:paraId="513C51D7">
      <w:pPr>
        <w:pStyle w:val="8"/>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3C91D281">
      <w:pPr>
        <w:pStyle w:val="8"/>
        <w:spacing w:beforeAutospacing="0" w:afterAutospacing="0" w:line="0" w:lineRule="atLeast"/>
        <w:ind w:firstLine="480"/>
        <w:jc w:val="both"/>
        <w:rPr>
          <w:highlight w:val="none"/>
        </w:rPr>
      </w:pPr>
      <w:r>
        <w:rPr>
          <w:highlight w:val="none"/>
        </w:rPr>
        <w:t> </w:t>
      </w:r>
    </w:p>
    <w:p w14:paraId="3C2317A8">
      <w:pPr>
        <w:pStyle w:val="8"/>
        <w:spacing w:beforeAutospacing="0" w:afterAutospacing="0" w:line="0" w:lineRule="atLeast"/>
        <w:ind w:firstLine="480"/>
        <w:jc w:val="both"/>
        <w:rPr>
          <w:highlight w:val="none"/>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r>
        <w:rPr>
          <w:rFonts w:hint="eastAsia" w:ascii="宋体" w:hAnsi="宋体" w:eastAsia="宋体" w:cs="宋体"/>
          <w:color w:val="000000"/>
          <w:highlight w:val="none"/>
        </w:rPr>
        <w:t>。2、中标供应商为残疾人福利单位的，此声明函将随中标结果同时公告，接受社会监督</w:t>
      </w:r>
    </w:p>
    <w:p w14:paraId="6AEABBF0">
      <w:pPr>
        <w:pStyle w:val="8"/>
        <w:spacing w:beforeAutospacing="0" w:afterAutospacing="0" w:line="0" w:lineRule="atLeast"/>
        <w:ind w:firstLine="624"/>
        <w:jc w:val="both"/>
        <w:rPr>
          <w:highlight w:val="none"/>
        </w:rPr>
      </w:pPr>
      <w:r>
        <w:rPr>
          <w:highlight w:val="none"/>
        </w:rPr>
        <w:t> </w:t>
      </w:r>
    </w:p>
    <w:p w14:paraId="626039F8">
      <w:pPr>
        <w:pStyle w:val="8"/>
        <w:tabs>
          <w:tab w:val="left" w:pos="4864"/>
        </w:tabs>
        <w:spacing w:beforeAutospacing="0" w:afterAutospacing="0" w:line="0" w:lineRule="atLeast"/>
        <w:ind w:right="1560" w:firstLine="624"/>
        <w:jc w:val="center"/>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供应商全称（加盖CA电子公章）：</w:t>
      </w:r>
    </w:p>
    <w:p w14:paraId="4F09B48A">
      <w:pPr>
        <w:pStyle w:val="8"/>
        <w:tabs>
          <w:tab w:val="left" w:pos="4864"/>
        </w:tabs>
        <w:spacing w:beforeAutospacing="0" w:afterAutospacing="0" w:line="0" w:lineRule="atLeast"/>
        <w:ind w:right="1560" w:firstLine="480"/>
        <w:jc w:val="center"/>
        <w:rPr>
          <w:highlight w:val="none"/>
        </w:rPr>
      </w:pPr>
      <w:r>
        <w:rPr>
          <w:rFonts w:hint="eastAsia" w:ascii="宋体" w:hAnsi="宋体" w:eastAsia="宋体" w:cs="宋体"/>
          <w:color w:val="000000"/>
          <w:highlight w:val="none"/>
        </w:rPr>
        <w:t>    日  期：</w:t>
      </w:r>
    </w:p>
    <w:p w14:paraId="6095EC64">
      <w:pPr>
        <w:pStyle w:val="8"/>
        <w:spacing w:beforeAutospacing="0" w:afterAutospacing="0" w:line="0" w:lineRule="atLeast"/>
        <w:jc w:val="center"/>
        <w:rPr>
          <w:highlight w:val="none"/>
        </w:rPr>
      </w:pPr>
      <w:r>
        <w:rPr>
          <w:highlight w:val="none"/>
        </w:rPr>
        <w:t> </w:t>
      </w:r>
    </w:p>
    <w:p w14:paraId="67480088">
      <w:pPr>
        <w:pStyle w:val="8"/>
        <w:spacing w:beforeAutospacing="0" w:afterAutospacing="0" w:line="0" w:lineRule="atLeast"/>
        <w:jc w:val="center"/>
        <w:rPr>
          <w:highlight w:val="none"/>
        </w:rPr>
      </w:pPr>
      <w:r>
        <w:rPr>
          <w:highlight w:val="none"/>
        </w:rPr>
        <w:t> </w:t>
      </w:r>
    </w:p>
    <w:p w14:paraId="16D7708B">
      <w:pPr>
        <w:pStyle w:val="8"/>
        <w:spacing w:beforeAutospacing="0" w:afterAutospacing="0" w:line="0" w:lineRule="atLeast"/>
        <w:jc w:val="center"/>
        <w:rPr>
          <w:highlight w:val="none"/>
        </w:rPr>
      </w:pPr>
      <w:r>
        <w:rPr>
          <w:highlight w:val="none"/>
        </w:rPr>
        <w:t> </w:t>
      </w:r>
    </w:p>
    <w:p w14:paraId="37A39D5D">
      <w:pPr>
        <w:pStyle w:val="8"/>
        <w:spacing w:beforeAutospacing="0" w:afterAutospacing="0" w:line="0" w:lineRule="atLeast"/>
        <w:jc w:val="center"/>
        <w:rPr>
          <w:highlight w:val="none"/>
        </w:rPr>
      </w:pPr>
      <w:r>
        <w:rPr>
          <w:highlight w:val="none"/>
        </w:rPr>
        <w:t> </w:t>
      </w:r>
    </w:p>
    <w:p w14:paraId="4BC37A6F">
      <w:pPr>
        <w:pStyle w:val="8"/>
        <w:spacing w:beforeAutospacing="0" w:afterAutospacing="0" w:line="0" w:lineRule="atLeast"/>
        <w:jc w:val="center"/>
        <w:rPr>
          <w:highlight w:val="none"/>
        </w:rPr>
      </w:pPr>
      <w:r>
        <w:rPr>
          <w:highlight w:val="none"/>
        </w:rPr>
        <w:t> </w:t>
      </w:r>
    </w:p>
    <w:p w14:paraId="5CC4CBFF">
      <w:pPr>
        <w:pStyle w:val="8"/>
        <w:spacing w:beforeAutospacing="0" w:afterAutospacing="0" w:line="0" w:lineRule="atLeast"/>
        <w:jc w:val="center"/>
        <w:rPr>
          <w:highlight w:val="none"/>
        </w:rPr>
      </w:pPr>
      <w:r>
        <w:rPr>
          <w:highlight w:val="none"/>
        </w:rPr>
        <w:t> </w:t>
      </w:r>
    </w:p>
    <w:p w14:paraId="7599688C">
      <w:pPr>
        <w:pStyle w:val="8"/>
        <w:spacing w:beforeAutospacing="0" w:afterAutospacing="0" w:line="0" w:lineRule="atLeast"/>
        <w:jc w:val="center"/>
        <w:rPr>
          <w:highlight w:val="none"/>
        </w:rPr>
      </w:pPr>
      <w:r>
        <w:rPr>
          <w:highlight w:val="none"/>
        </w:rPr>
        <w:t> </w:t>
      </w:r>
    </w:p>
    <w:p w14:paraId="4C81E594">
      <w:pPr>
        <w:pStyle w:val="8"/>
        <w:spacing w:beforeAutospacing="0" w:afterAutospacing="0" w:line="0" w:lineRule="atLeast"/>
        <w:jc w:val="center"/>
        <w:rPr>
          <w:highlight w:val="none"/>
        </w:rPr>
      </w:pPr>
      <w:r>
        <w:rPr>
          <w:highlight w:val="none"/>
        </w:rPr>
        <w:t> </w:t>
      </w:r>
    </w:p>
    <w:p w14:paraId="59FA9411">
      <w:pPr>
        <w:pStyle w:val="8"/>
        <w:spacing w:beforeAutospacing="0" w:afterAutospacing="0" w:line="0" w:lineRule="atLeast"/>
        <w:jc w:val="center"/>
        <w:rPr>
          <w:highlight w:val="none"/>
        </w:rPr>
      </w:pPr>
      <w:r>
        <w:rPr>
          <w:highlight w:val="none"/>
        </w:rPr>
        <w:t> </w:t>
      </w:r>
    </w:p>
    <w:p w14:paraId="24879B48">
      <w:pPr>
        <w:pStyle w:val="8"/>
        <w:spacing w:beforeAutospacing="0" w:afterAutospacing="0" w:line="0" w:lineRule="atLeast"/>
        <w:jc w:val="center"/>
        <w:rPr>
          <w:highlight w:val="none"/>
        </w:rPr>
      </w:pPr>
    </w:p>
    <w:p w14:paraId="18A83768">
      <w:pPr>
        <w:pStyle w:val="8"/>
        <w:spacing w:beforeAutospacing="0" w:afterAutospacing="0" w:line="0" w:lineRule="atLeast"/>
        <w:jc w:val="center"/>
        <w:rPr>
          <w:highlight w:val="none"/>
        </w:rPr>
      </w:pPr>
    </w:p>
    <w:p w14:paraId="3FB74B8A">
      <w:pPr>
        <w:pStyle w:val="8"/>
        <w:spacing w:beforeAutospacing="0" w:afterAutospacing="0" w:line="0" w:lineRule="atLeast"/>
        <w:jc w:val="center"/>
        <w:rPr>
          <w:highlight w:val="none"/>
        </w:rPr>
      </w:pPr>
    </w:p>
    <w:p w14:paraId="3D16B2B5">
      <w:pPr>
        <w:pStyle w:val="8"/>
        <w:spacing w:beforeAutospacing="0" w:afterAutospacing="0" w:line="0" w:lineRule="atLeast"/>
        <w:jc w:val="center"/>
        <w:rPr>
          <w:highlight w:val="none"/>
        </w:rPr>
      </w:pPr>
    </w:p>
    <w:p w14:paraId="7F04C1B5">
      <w:pPr>
        <w:pStyle w:val="8"/>
        <w:spacing w:beforeAutospacing="0" w:afterAutospacing="0" w:line="0" w:lineRule="atLeast"/>
        <w:jc w:val="center"/>
        <w:rPr>
          <w:highlight w:val="none"/>
        </w:rPr>
      </w:pPr>
    </w:p>
    <w:p w14:paraId="1686469F">
      <w:pPr>
        <w:pStyle w:val="8"/>
        <w:spacing w:beforeAutospacing="0" w:afterAutospacing="0" w:line="0" w:lineRule="atLeast"/>
        <w:jc w:val="center"/>
        <w:rPr>
          <w:highlight w:val="none"/>
        </w:rPr>
      </w:pPr>
    </w:p>
    <w:p w14:paraId="7FBDBFF4">
      <w:pPr>
        <w:pStyle w:val="8"/>
        <w:spacing w:beforeAutospacing="0" w:afterAutospacing="0" w:line="0" w:lineRule="atLeast"/>
        <w:jc w:val="center"/>
        <w:rPr>
          <w:highlight w:val="none"/>
        </w:rPr>
      </w:pPr>
    </w:p>
    <w:p w14:paraId="7A648D0F">
      <w:pPr>
        <w:pStyle w:val="8"/>
        <w:spacing w:beforeAutospacing="0" w:afterAutospacing="0" w:line="0" w:lineRule="atLeast"/>
        <w:jc w:val="center"/>
        <w:rPr>
          <w:highlight w:val="none"/>
        </w:rPr>
      </w:pPr>
    </w:p>
    <w:p w14:paraId="6E9DCFEF">
      <w:pPr>
        <w:pStyle w:val="8"/>
        <w:spacing w:beforeAutospacing="0" w:afterAutospacing="0" w:line="0" w:lineRule="atLeast"/>
        <w:jc w:val="center"/>
        <w:rPr>
          <w:highlight w:val="none"/>
        </w:rPr>
      </w:pPr>
    </w:p>
    <w:p w14:paraId="36193849">
      <w:pPr>
        <w:pStyle w:val="8"/>
        <w:spacing w:beforeAutospacing="0" w:afterAutospacing="0" w:line="0" w:lineRule="atLeast"/>
        <w:jc w:val="center"/>
        <w:rPr>
          <w:highlight w:val="none"/>
        </w:rPr>
      </w:pPr>
    </w:p>
    <w:p w14:paraId="46C71334">
      <w:pPr>
        <w:pStyle w:val="8"/>
        <w:spacing w:beforeAutospacing="0" w:afterAutospacing="0" w:line="0" w:lineRule="atLeast"/>
        <w:jc w:val="center"/>
        <w:rPr>
          <w:highlight w:val="none"/>
        </w:rPr>
      </w:pPr>
    </w:p>
    <w:p w14:paraId="1AE4014D">
      <w:pPr>
        <w:pStyle w:val="8"/>
        <w:spacing w:beforeAutospacing="0" w:afterAutospacing="0" w:line="0" w:lineRule="atLeast"/>
        <w:jc w:val="center"/>
        <w:rPr>
          <w:highlight w:val="none"/>
        </w:rPr>
      </w:pPr>
    </w:p>
    <w:p w14:paraId="7F6874A2">
      <w:pPr>
        <w:pStyle w:val="8"/>
        <w:spacing w:beforeAutospacing="0" w:afterAutospacing="0" w:line="0" w:lineRule="atLeast"/>
        <w:jc w:val="center"/>
        <w:rPr>
          <w:highlight w:val="none"/>
        </w:rPr>
      </w:pPr>
    </w:p>
    <w:p w14:paraId="4267139D">
      <w:pPr>
        <w:pStyle w:val="8"/>
        <w:spacing w:beforeAutospacing="0" w:afterAutospacing="0" w:line="0" w:lineRule="atLeast"/>
        <w:jc w:val="center"/>
        <w:rPr>
          <w:highlight w:val="none"/>
        </w:rPr>
      </w:pPr>
    </w:p>
    <w:p w14:paraId="1ACDECBB">
      <w:pPr>
        <w:pStyle w:val="8"/>
        <w:spacing w:beforeAutospacing="0" w:afterAutospacing="0" w:line="0" w:lineRule="atLeast"/>
        <w:jc w:val="center"/>
        <w:rPr>
          <w:highlight w:val="none"/>
        </w:rPr>
      </w:pPr>
    </w:p>
    <w:p w14:paraId="1E92FB9F">
      <w:pPr>
        <w:pStyle w:val="8"/>
        <w:spacing w:beforeAutospacing="0" w:afterAutospacing="0" w:line="0" w:lineRule="atLeast"/>
        <w:jc w:val="center"/>
        <w:rPr>
          <w:highlight w:val="none"/>
        </w:rPr>
      </w:pPr>
    </w:p>
    <w:p w14:paraId="6E218534">
      <w:pPr>
        <w:pStyle w:val="8"/>
        <w:spacing w:beforeAutospacing="0" w:afterAutospacing="0" w:line="0" w:lineRule="atLeast"/>
        <w:jc w:val="center"/>
        <w:rPr>
          <w:highlight w:val="none"/>
        </w:rPr>
      </w:pPr>
    </w:p>
    <w:p w14:paraId="7EC1D134">
      <w:pPr>
        <w:pStyle w:val="8"/>
        <w:spacing w:beforeAutospacing="0" w:afterAutospacing="0" w:line="0" w:lineRule="atLeast"/>
        <w:jc w:val="center"/>
        <w:rPr>
          <w:highlight w:val="none"/>
        </w:rPr>
      </w:pPr>
    </w:p>
    <w:p w14:paraId="648B5389">
      <w:pPr>
        <w:pStyle w:val="8"/>
        <w:spacing w:beforeAutospacing="0" w:afterAutospacing="0" w:line="0" w:lineRule="atLeast"/>
        <w:jc w:val="center"/>
        <w:rPr>
          <w:highlight w:val="none"/>
        </w:rPr>
      </w:pPr>
    </w:p>
    <w:p w14:paraId="5002E696">
      <w:pPr>
        <w:pStyle w:val="8"/>
        <w:spacing w:beforeAutospacing="0" w:afterAutospacing="0" w:line="0" w:lineRule="atLeast"/>
        <w:jc w:val="center"/>
        <w:rPr>
          <w:highlight w:val="none"/>
        </w:rPr>
      </w:pPr>
      <w:r>
        <w:rPr>
          <w:highlight w:val="none"/>
        </w:rPr>
        <w:t> </w:t>
      </w:r>
    </w:p>
    <w:p w14:paraId="76D8AB59">
      <w:pPr>
        <w:pStyle w:val="8"/>
        <w:spacing w:beforeAutospacing="0" w:afterAutospacing="0" w:line="0" w:lineRule="atLeast"/>
        <w:jc w:val="center"/>
        <w:rPr>
          <w:highlight w:val="none"/>
        </w:rPr>
      </w:pPr>
      <w:r>
        <w:rPr>
          <w:highlight w:val="none"/>
        </w:rPr>
        <w:t> </w:t>
      </w:r>
    </w:p>
    <w:p w14:paraId="434CB774">
      <w:pPr>
        <w:pStyle w:val="8"/>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十一、联合体协议（参考格式）（分包号：**）</w:t>
      </w:r>
    </w:p>
    <w:p w14:paraId="7C3ACB48">
      <w:pPr>
        <w:pStyle w:val="8"/>
        <w:spacing w:beforeAutospacing="0" w:afterAutospacing="0" w:line="0" w:lineRule="atLeast"/>
        <w:jc w:val="both"/>
        <w:rPr>
          <w:highlight w:val="none"/>
        </w:rPr>
      </w:pPr>
      <w:r>
        <w:rPr>
          <w:rFonts w:hint="eastAsia" w:ascii="宋体" w:hAnsi="宋体" w:eastAsia="宋体" w:cs="宋体"/>
          <w:color w:val="000000"/>
          <w:highlight w:val="none"/>
        </w:rPr>
        <w:t>（联合体中各供应商全称）在此达成以下协议：</w:t>
      </w:r>
    </w:p>
    <w:p w14:paraId="7B3635D9">
      <w:pPr>
        <w:pStyle w:val="8"/>
        <w:spacing w:beforeAutospacing="0" w:afterAutospacing="0" w:line="0" w:lineRule="atLeast"/>
        <w:ind w:firstLine="645"/>
        <w:jc w:val="both"/>
        <w:rPr>
          <w:highlight w:val="none"/>
        </w:rPr>
      </w:pPr>
      <w:r>
        <w:rPr>
          <w:rFonts w:hint="eastAsia" w:ascii="宋体" w:hAnsi="宋体" w:eastAsia="宋体" w:cs="宋体"/>
          <w:color w:val="000000"/>
          <w:highlight w:val="none"/>
        </w:rPr>
        <w:t>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自愿组成联合体，参加盐城市政府采购中心组织的采购编号为</w:t>
      </w:r>
      <w:r>
        <w:rPr>
          <w:rFonts w:hint="eastAsia" w:ascii="宋体" w:hAnsi="宋体" w:eastAsia="宋体" w:cs="宋体"/>
          <w:color w:val="000000"/>
          <w:highlight w:val="none"/>
          <w:u w:val="single"/>
        </w:rPr>
        <w:t>（编号全称），（项目全称）</w:t>
      </w:r>
      <w:r>
        <w:rPr>
          <w:rFonts w:hint="eastAsia" w:ascii="宋体" w:hAnsi="宋体" w:eastAsia="宋体" w:cs="宋体"/>
          <w:color w:val="000000"/>
          <w:highlight w:val="none"/>
        </w:rPr>
        <w:t>项目（分包号：**）的政府采购活动，我联合体指定</w:t>
      </w:r>
      <w:r>
        <w:rPr>
          <w:rFonts w:hint="eastAsia" w:ascii="宋体" w:hAnsi="宋体" w:eastAsia="宋体" w:cs="宋体"/>
          <w:color w:val="000000"/>
          <w:highlight w:val="none"/>
          <w:u w:val="single"/>
        </w:rPr>
        <w:t>（供应商*）</w:t>
      </w:r>
      <w:r>
        <w:rPr>
          <w:rFonts w:hint="eastAsia" w:ascii="宋体" w:hAnsi="宋体" w:eastAsia="宋体" w:cs="宋体"/>
          <w:color w:val="000000"/>
          <w:highlight w:val="none"/>
        </w:rPr>
        <w:t>为牵头单位（牵头单位必须为联合体成员）。</w:t>
      </w:r>
    </w:p>
    <w:p w14:paraId="4CB7F364">
      <w:pPr>
        <w:pStyle w:val="8"/>
        <w:spacing w:beforeAutospacing="0" w:afterAutospacing="0" w:line="0" w:lineRule="atLeast"/>
        <w:ind w:firstLine="645"/>
        <w:jc w:val="both"/>
        <w:rPr>
          <w:highlight w:val="none"/>
        </w:rPr>
      </w:pPr>
      <w:r>
        <w:rPr>
          <w:rFonts w:hint="eastAsia" w:ascii="宋体" w:hAnsi="宋体" w:eastAsia="宋体" w:cs="宋体"/>
          <w:color w:val="000000"/>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0FF6709">
      <w:pPr>
        <w:pStyle w:val="8"/>
        <w:spacing w:beforeAutospacing="0" w:afterAutospacing="0" w:line="0" w:lineRule="atLeast"/>
        <w:ind w:firstLine="645"/>
        <w:jc w:val="both"/>
        <w:rPr>
          <w:highlight w:val="none"/>
        </w:rPr>
      </w:pPr>
      <w:r>
        <w:rPr>
          <w:rFonts w:hint="eastAsia" w:ascii="宋体" w:hAnsi="宋体" w:eastAsia="宋体" w:cs="宋体"/>
          <w:color w:val="000000"/>
          <w:highlight w:val="none"/>
        </w:rPr>
        <w:t>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0E96EAD5">
      <w:pPr>
        <w:pStyle w:val="8"/>
        <w:spacing w:beforeAutospacing="0" w:afterAutospacing="0" w:line="0" w:lineRule="atLeast"/>
        <w:ind w:firstLine="645"/>
        <w:jc w:val="both"/>
        <w:rPr>
          <w:highlight w:val="none"/>
        </w:rPr>
      </w:pPr>
      <w:r>
        <w:rPr>
          <w:highlight w:val="none"/>
        </w:rPr>
        <w:t> </w:t>
      </w:r>
    </w:p>
    <w:p w14:paraId="68430BED">
      <w:pPr>
        <w:pStyle w:val="8"/>
        <w:spacing w:beforeAutospacing="0" w:afterAutospacing="0" w:line="0" w:lineRule="atLeast"/>
        <w:ind w:firstLine="645"/>
        <w:jc w:val="both"/>
        <w:rPr>
          <w:highlight w:val="none"/>
        </w:rPr>
      </w:pPr>
      <w:r>
        <w:rPr>
          <w:rFonts w:hint="eastAsia" w:ascii="宋体" w:hAnsi="宋体" w:eastAsia="宋体" w:cs="宋体"/>
          <w:color w:val="000000"/>
          <w:highlight w:val="none"/>
        </w:rPr>
        <w:t>备注：本招标文件中要求加盖CA电子签章的地方，仅需加盖牵头单位的CA电子签章。</w:t>
      </w:r>
    </w:p>
    <w:p w14:paraId="4B08B0BD">
      <w:pPr>
        <w:pStyle w:val="8"/>
        <w:spacing w:beforeAutospacing="0" w:afterAutospacing="0" w:line="0" w:lineRule="atLeast"/>
        <w:ind w:firstLine="645"/>
        <w:jc w:val="both"/>
        <w:rPr>
          <w:highlight w:val="none"/>
        </w:rPr>
      </w:pPr>
      <w:r>
        <w:rPr>
          <w:rFonts w:hint="eastAsia" w:ascii="宋体" w:hAnsi="宋体" w:eastAsia="宋体" w:cs="宋体"/>
          <w:color w:val="000000"/>
          <w:highlight w:val="none"/>
        </w:rPr>
        <w:t xml:space="preserve">                                          </w:t>
      </w:r>
    </w:p>
    <w:p w14:paraId="7673F4B1">
      <w:pPr>
        <w:pStyle w:val="8"/>
        <w:spacing w:beforeAutospacing="0" w:afterAutospacing="0" w:line="0" w:lineRule="atLeast"/>
        <w:ind w:firstLine="645"/>
        <w:jc w:val="right"/>
        <w:rPr>
          <w:highlight w:val="none"/>
        </w:rPr>
      </w:pPr>
      <w:r>
        <w:rPr>
          <w:rFonts w:hint="eastAsia" w:ascii="宋体" w:hAnsi="宋体" w:eastAsia="宋体" w:cs="宋体"/>
          <w:color w:val="000000"/>
          <w:highlight w:val="none"/>
        </w:rPr>
        <w:t xml:space="preserve">联合体中各供应商全称（公章）：     </w:t>
      </w:r>
    </w:p>
    <w:p w14:paraId="3073AECD">
      <w:pPr>
        <w:pStyle w:val="8"/>
        <w:spacing w:beforeAutospacing="0" w:afterAutospacing="0" w:line="0" w:lineRule="atLeast"/>
        <w:ind w:firstLine="645"/>
        <w:jc w:val="both"/>
        <w:rPr>
          <w:highlight w:val="none"/>
        </w:rPr>
      </w:pPr>
      <w:r>
        <w:rPr>
          <w:rFonts w:hint="eastAsia" w:ascii="宋体" w:hAnsi="宋体" w:eastAsia="宋体" w:cs="宋体"/>
          <w:color w:val="000000"/>
          <w:highlight w:val="none"/>
        </w:rPr>
        <w:t>                                        日期：</w:t>
      </w:r>
    </w:p>
    <w:p w14:paraId="52A54D15">
      <w:pPr>
        <w:pStyle w:val="8"/>
        <w:spacing w:beforeAutospacing="0" w:afterAutospacing="0" w:line="0" w:lineRule="atLeast"/>
        <w:ind w:firstLine="645"/>
        <w:jc w:val="both"/>
        <w:rPr>
          <w:highlight w:val="none"/>
        </w:rPr>
      </w:pPr>
      <w:r>
        <w:rPr>
          <w:highlight w:val="none"/>
        </w:rPr>
        <w:t> </w:t>
      </w:r>
    </w:p>
    <w:p w14:paraId="15A2C463">
      <w:pPr>
        <w:pStyle w:val="8"/>
        <w:spacing w:beforeAutospacing="0" w:afterAutospacing="0" w:line="0" w:lineRule="atLeast"/>
        <w:jc w:val="both"/>
        <w:rPr>
          <w:highlight w:val="none"/>
        </w:rPr>
      </w:pPr>
      <w:r>
        <w:rPr>
          <w:highlight w:val="none"/>
        </w:rPr>
        <w:t> </w:t>
      </w:r>
    </w:p>
    <w:p w14:paraId="5DD77C7A">
      <w:pPr>
        <w:pStyle w:val="8"/>
        <w:spacing w:beforeAutospacing="0" w:afterAutospacing="0" w:line="0" w:lineRule="atLeast"/>
        <w:jc w:val="both"/>
        <w:rPr>
          <w:highlight w:val="none"/>
        </w:rPr>
      </w:pPr>
      <w:r>
        <w:rPr>
          <w:highlight w:val="none"/>
        </w:rPr>
        <w:t> </w:t>
      </w:r>
    </w:p>
    <w:p w14:paraId="7FD231BA">
      <w:pPr>
        <w:pStyle w:val="8"/>
        <w:spacing w:beforeAutospacing="0" w:afterAutospacing="0" w:line="0" w:lineRule="atLeast"/>
        <w:jc w:val="both"/>
        <w:rPr>
          <w:highlight w:val="none"/>
        </w:rPr>
      </w:pPr>
      <w:r>
        <w:rPr>
          <w:highlight w:val="none"/>
        </w:rPr>
        <w:t> </w:t>
      </w:r>
    </w:p>
    <w:p w14:paraId="2AC8CC32">
      <w:pPr>
        <w:pStyle w:val="8"/>
        <w:spacing w:beforeAutospacing="0" w:afterAutospacing="0" w:line="0" w:lineRule="atLeast"/>
        <w:jc w:val="both"/>
        <w:rPr>
          <w:highlight w:val="none"/>
        </w:rPr>
      </w:pPr>
      <w:r>
        <w:rPr>
          <w:highlight w:val="none"/>
        </w:rPr>
        <w:t> </w:t>
      </w:r>
    </w:p>
    <w:p w14:paraId="5EC7EFFF">
      <w:pPr>
        <w:pStyle w:val="8"/>
        <w:spacing w:beforeAutospacing="0" w:afterAutospacing="0" w:line="0" w:lineRule="atLeast"/>
        <w:jc w:val="both"/>
        <w:rPr>
          <w:highlight w:val="none"/>
        </w:rPr>
      </w:pPr>
    </w:p>
    <w:p w14:paraId="16477A67">
      <w:pPr>
        <w:pStyle w:val="8"/>
        <w:spacing w:beforeAutospacing="0" w:afterAutospacing="0" w:line="0" w:lineRule="atLeast"/>
        <w:jc w:val="both"/>
        <w:rPr>
          <w:highlight w:val="none"/>
        </w:rPr>
      </w:pPr>
    </w:p>
    <w:p w14:paraId="502BB7DA">
      <w:pPr>
        <w:pStyle w:val="8"/>
        <w:spacing w:beforeAutospacing="0" w:afterAutospacing="0" w:line="0" w:lineRule="atLeast"/>
        <w:jc w:val="both"/>
        <w:rPr>
          <w:highlight w:val="none"/>
        </w:rPr>
      </w:pPr>
    </w:p>
    <w:p w14:paraId="1746FEF0">
      <w:pPr>
        <w:pStyle w:val="8"/>
        <w:spacing w:beforeAutospacing="0" w:afterAutospacing="0" w:line="0" w:lineRule="atLeast"/>
        <w:jc w:val="both"/>
        <w:rPr>
          <w:highlight w:val="none"/>
        </w:rPr>
      </w:pPr>
    </w:p>
    <w:p w14:paraId="28209242">
      <w:pPr>
        <w:pStyle w:val="8"/>
        <w:spacing w:beforeAutospacing="0" w:afterAutospacing="0" w:line="0" w:lineRule="atLeast"/>
        <w:jc w:val="both"/>
        <w:rPr>
          <w:highlight w:val="none"/>
        </w:rPr>
      </w:pPr>
    </w:p>
    <w:p w14:paraId="608B4AC0">
      <w:pPr>
        <w:pStyle w:val="8"/>
        <w:spacing w:beforeAutospacing="0" w:afterAutospacing="0" w:line="0" w:lineRule="atLeast"/>
        <w:jc w:val="both"/>
        <w:rPr>
          <w:highlight w:val="none"/>
        </w:rPr>
      </w:pPr>
    </w:p>
    <w:p w14:paraId="64A490B9">
      <w:pPr>
        <w:pStyle w:val="8"/>
        <w:spacing w:beforeAutospacing="0" w:afterAutospacing="0" w:line="0" w:lineRule="atLeast"/>
        <w:jc w:val="both"/>
        <w:rPr>
          <w:highlight w:val="none"/>
        </w:rPr>
      </w:pPr>
    </w:p>
    <w:p w14:paraId="6D957086">
      <w:pPr>
        <w:pStyle w:val="8"/>
        <w:spacing w:beforeAutospacing="0" w:afterAutospacing="0" w:line="0" w:lineRule="atLeast"/>
        <w:jc w:val="both"/>
        <w:rPr>
          <w:highlight w:val="none"/>
        </w:rPr>
      </w:pPr>
    </w:p>
    <w:p w14:paraId="1ACB39F4">
      <w:pPr>
        <w:pStyle w:val="8"/>
        <w:spacing w:beforeAutospacing="0" w:afterAutospacing="0" w:line="0" w:lineRule="atLeast"/>
        <w:jc w:val="both"/>
        <w:rPr>
          <w:highlight w:val="none"/>
        </w:rPr>
      </w:pPr>
    </w:p>
    <w:p w14:paraId="64959A15">
      <w:pPr>
        <w:pStyle w:val="8"/>
        <w:spacing w:beforeAutospacing="0" w:afterAutospacing="0" w:line="0" w:lineRule="atLeast"/>
        <w:jc w:val="both"/>
        <w:rPr>
          <w:highlight w:val="none"/>
        </w:rPr>
      </w:pPr>
    </w:p>
    <w:p w14:paraId="19D3AC44">
      <w:pPr>
        <w:pStyle w:val="8"/>
        <w:spacing w:beforeAutospacing="0" w:afterAutospacing="0" w:line="0" w:lineRule="atLeast"/>
        <w:jc w:val="both"/>
        <w:rPr>
          <w:highlight w:val="none"/>
        </w:rPr>
      </w:pPr>
    </w:p>
    <w:p w14:paraId="3770339F">
      <w:pPr>
        <w:pStyle w:val="8"/>
        <w:spacing w:beforeAutospacing="0" w:afterAutospacing="0" w:line="0" w:lineRule="atLeast"/>
        <w:jc w:val="both"/>
        <w:rPr>
          <w:highlight w:val="none"/>
        </w:rPr>
      </w:pPr>
    </w:p>
    <w:p w14:paraId="5820ED04">
      <w:pPr>
        <w:pStyle w:val="8"/>
        <w:spacing w:beforeAutospacing="0" w:afterAutospacing="0" w:line="0" w:lineRule="atLeast"/>
        <w:jc w:val="both"/>
        <w:rPr>
          <w:highlight w:val="none"/>
        </w:rPr>
      </w:pPr>
    </w:p>
    <w:p w14:paraId="3FE01EA9">
      <w:pPr>
        <w:pStyle w:val="8"/>
        <w:spacing w:beforeAutospacing="0" w:afterAutospacing="0" w:line="0" w:lineRule="atLeast"/>
        <w:jc w:val="both"/>
        <w:rPr>
          <w:highlight w:val="none"/>
        </w:rPr>
      </w:pPr>
    </w:p>
    <w:p w14:paraId="6A96C689">
      <w:pPr>
        <w:pStyle w:val="8"/>
        <w:spacing w:beforeAutospacing="0" w:afterAutospacing="0" w:line="0" w:lineRule="atLeast"/>
        <w:jc w:val="both"/>
        <w:rPr>
          <w:highlight w:val="none"/>
        </w:rPr>
      </w:pPr>
    </w:p>
    <w:p w14:paraId="6F85EAAF">
      <w:pPr>
        <w:pStyle w:val="8"/>
        <w:spacing w:beforeAutospacing="0" w:afterAutospacing="0" w:line="0" w:lineRule="atLeast"/>
        <w:jc w:val="both"/>
        <w:rPr>
          <w:highlight w:val="none"/>
        </w:rPr>
      </w:pPr>
    </w:p>
    <w:p w14:paraId="46566586">
      <w:pPr>
        <w:pStyle w:val="8"/>
        <w:spacing w:beforeAutospacing="0" w:afterAutospacing="0" w:line="0" w:lineRule="atLeast"/>
        <w:jc w:val="both"/>
        <w:rPr>
          <w:highlight w:val="none"/>
        </w:rPr>
      </w:pPr>
      <w:r>
        <w:rPr>
          <w:highlight w:val="none"/>
        </w:rPr>
        <w:t> </w:t>
      </w:r>
    </w:p>
    <w:p w14:paraId="3C5F4ED1">
      <w:pPr>
        <w:pStyle w:val="8"/>
        <w:spacing w:beforeAutospacing="0" w:afterAutospacing="0" w:line="0" w:lineRule="atLeast"/>
        <w:jc w:val="both"/>
        <w:rPr>
          <w:highlight w:val="none"/>
        </w:rPr>
      </w:pPr>
      <w:r>
        <w:rPr>
          <w:highlight w:val="none"/>
        </w:rPr>
        <w:t> </w:t>
      </w:r>
    </w:p>
    <w:p w14:paraId="03BD6FEE">
      <w:pPr>
        <w:pStyle w:val="8"/>
        <w:spacing w:beforeAutospacing="0" w:afterAutospacing="0"/>
        <w:jc w:val="both"/>
        <w:rPr>
          <w:highlight w:val="none"/>
        </w:rPr>
      </w:pPr>
      <w:r>
        <w:rPr>
          <w:highlight w:val="none"/>
        </w:rPr>
        <w:t> </w:t>
      </w:r>
    </w:p>
    <w:p w14:paraId="11BC64E8">
      <w:pPr>
        <w:pStyle w:val="8"/>
        <w:spacing w:beforeAutospacing="0" w:afterAutospacing="0"/>
        <w:jc w:val="center"/>
        <w:rPr>
          <w:highlight w:val="none"/>
        </w:rPr>
      </w:pPr>
      <w:r>
        <w:rPr>
          <w:rFonts w:hint="eastAsia" w:ascii="黑体" w:hAnsi="宋体" w:eastAsia="黑体" w:cs="黑体"/>
          <w:b/>
          <w:color w:val="000000"/>
          <w:sz w:val="32"/>
          <w:szCs w:val="32"/>
          <w:highlight w:val="none"/>
        </w:rPr>
        <w:t>十二、投标分项报价表（分包号：***）</w:t>
      </w:r>
    </w:p>
    <w:tbl>
      <w:tblPr>
        <w:tblStyle w:val="9"/>
        <w:tblW w:w="4991" w:type="pct"/>
        <w:jc w:val="center"/>
        <w:tblLayout w:type="autofit"/>
        <w:tblCellMar>
          <w:top w:w="15" w:type="dxa"/>
          <w:left w:w="15" w:type="dxa"/>
          <w:bottom w:w="0" w:type="dxa"/>
          <w:right w:w="15" w:type="dxa"/>
        </w:tblCellMar>
      </w:tblPr>
      <w:tblGrid>
        <w:gridCol w:w="572"/>
        <w:gridCol w:w="1906"/>
        <w:gridCol w:w="1829"/>
        <w:gridCol w:w="924"/>
        <w:gridCol w:w="726"/>
        <w:gridCol w:w="1190"/>
        <w:gridCol w:w="1174"/>
      </w:tblGrid>
      <w:tr w14:paraId="5475A6E9">
        <w:tblPrEx>
          <w:tblCellMar>
            <w:top w:w="15" w:type="dxa"/>
            <w:left w:w="15" w:type="dxa"/>
            <w:bottom w:w="0" w:type="dxa"/>
            <w:right w:w="15" w:type="dxa"/>
          </w:tblCellMar>
        </w:tblPrEx>
        <w:trPr>
          <w:trHeight w:val="786" w:hRule="atLeast"/>
          <w:jc w:val="center"/>
        </w:trPr>
        <w:tc>
          <w:tcPr>
            <w:tcW w:w="3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5447F1">
            <w:pPr>
              <w:spacing w:line="240" w:lineRule="auto"/>
              <w:ind w:firstLine="0"/>
              <w:jc w:val="center"/>
              <w:rPr>
                <w:rFonts w:hint="default" w:ascii="Arial" w:hAnsi="Arial" w:eastAsia="Arial" w:cs="Times New Roman"/>
                <w:b/>
                <w:bCs w:val="0"/>
                <w:kern w:val="0"/>
                <w:sz w:val="22"/>
                <w:szCs w:val="24"/>
              </w:rPr>
            </w:pPr>
            <w:r>
              <w:rPr>
                <w:rFonts w:hint="eastAsia" w:ascii="Arial" w:hAnsi="Arial" w:eastAsia="Arial" w:cs="Times New Roman"/>
                <w:b/>
                <w:bCs w:val="0"/>
                <w:kern w:val="0"/>
                <w:sz w:val="22"/>
                <w:szCs w:val="24"/>
              </w:rPr>
              <w:t>序号</w:t>
            </w:r>
          </w:p>
        </w:tc>
        <w:tc>
          <w:tcPr>
            <w:tcW w:w="11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2C9768">
            <w:pPr>
              <w:spacing w:line="240" w:lineRule="auto"/>
              <w:ind w:firstLine="0"/>
              <w:jc w:val="center"/>
              <w:rPr>
                <w:rFonts w:hint="default" w:ascii="Arial" w:hAnsi="Arial" w:eastAsia="Arial" w:cs="Times New Roman"/>
                <w:b/>
                <w:bCs w:val="0"/>
                <w:kern w:val="0"/>
                <w:sz w:val="22"/>
                <w:szCs w:val="24"/>
              </w:rPr>
            </w:pPr>
            <w:r>
              <w:rPr>
                <w:rFonts w:hint="eastAsia" w:ascii="Arial" w:hAnsi="Arial" w:eastAsia="Arial" w:cs="Times New Roman"/>
                <w:b/>
                <w:bCs w:val="0"/>
                <w:kern w:val="0"/>
                <w:sz w:val="22"/>
                <w:szCs w:val="24"/>
              </w:rPr>
              <w:t>产品名称</w:t>
            </w:r>
          </w:p>
        </w:tc>
        <w:tc>
          <w:tcPr>
            <w:tcW w:w="109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A57378">
            <w:pPr>
              <w:spacing w:line="240" w:lineRule="auto"/>
              <w:ind w:firstLine="0"/>
              <w:jc w:val="center"/>
              <w:rPr>
                <w:rFonts w:hint="default" w:ascii="Arial" w:hAnsi="Arial" w:eastAsia="Arial" w:cs="Times New Roman"/>
                <w:b/>
                <w:bCs w:val="0"/>
                <w:kern w:val="0"/>
                <w:sz w:val="22"/>
                <w:szCs w:val="24"/>
              </w:rPr>
            </w:pPr>
            <w:r>
              <w:rPr>
                <w:rFonts w:hint="eastAsia" w:ascii="Arial" w:hAnsi="Arial" w:eastAsia="Arial" w:cs="Times New Roman"/>
                <w:b/>
                <w:bCs w:val="0"/>
                <w:kern w:val="0"/>
                <w:sz w:val="22"/>
                <w:szCs w:val="24"/>
              </w:rPr>
              <w:t>品牌及规格型号</w:t>
            </w:r>
          </w:p>
        </w:tc>
        <w:tc>
          <w:tcPr>
            <w:tcW w:w="55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BA16B6C">
            <w:pPr>
              <w:spacing w:line="240" w:lineRule="auto"/>
              <w:ind w:firstLine="0"/>
              <w:jc w:val="center"/>
              <w:rPr>
                <w:rFonts w:hint="default" w:ascii="Arial" w:hAnsi="Arial" w:eastAsia="Arial" w:cs="Times New Roman"/>
                <w:b/>
                <w:bCs w:val="0"/>
                <w:kern w:val="0"/>
                <w:sz w:val="22"/>
                <w:szCs w:val="24"/>
              </w:rPr>
            </w:pPr>
            <w:r>
              <w:rPr>
                <w:rFonts w:hint="eastAsia" w:ascii="Arial" w:hAnsi="Arial" w:eastAsia="Arial" w:cs="Times New Roman"/>
                <w:b/>
                <w:bCs w:val="0"/>
                <w:kern w:val="0"/>
                <w:sz w:val="22"/>
                <w:szCs w:val="24"/>
              </w:rPr>
              <w:t>单位</w:t>
            </w:r>
          </w:p>
        </w:tc>
        <w:tc>
          <w:tcPr>
            <w:tcW w:w="43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E57B6BA">
            <w:pPr>
              <w:spacing w:line="240" w:lineRule="auto"/>
              <w:ind w:firstLine="0"/>
              <w:jc w:val="center"/>
              <w:rPr>
                <w:rFonts w:hint="default" w:ascii="Arial" w:hAnsi="Arial" w:eastAsia="Arial" w:cs="Times New Roman"/>
                <w:b/>
                <w:bCs w:val="0"/>
                <w:kern w:val="0"/>
                <w:sz w:val="22"/>
                <w:szCs w:val="24"/>
              </w:rPr>
            </w:pPr>
            <w:r>
              <w:rPr>
                <w:rFonts w:hint="eastAsia" w:ascii="Arial" w:hAnsi="Arial" w:eastAsia="Arial" w:cs="Times New Roman"/>
                <w:b/>
                <w:bCs w:val="0"/>
                <w:kern w:val="0"/>
                <w:sz w:val="22"/>
                <w:szCs w:val="24"/>
              </w:rPr>
              <w:t>数量</w:t>
            </w: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D4C1BF">
            <w:pPr>
              <w:spacing w:line="240" w:lineRule="auto"/>
              <w:ind w:firstLine="0"/>
              <w:jc w:val="center"/>
              <w:rPr>
                <w:rFonts w:hint="default" w:ascii="Arial" w:hAnsi="Arial" w:eastAsia="Arial" w:cs="Times New Roman"/>
                <w:b/>
                <w:bCs w:val="0"/>
                <w:kern w:val="0"/>
                <w:sz w:val="22"/>
                <w:szCs w:val="24"/>
              </w:rPr>
            </w:pPr>
            <w:r>
              <w:rPr>
                <w:rFonts w:hint="eastAsia" w:ascii="Arial" w:hAnsi="Arial" w:eastAsia="Arial" w:cs="Times New Roman"/>
                <w:b/>
                <w:bCs w:val="0"/>
                <w:kern w:val="0"/>
                <w:sz w:val="22"/>
                <w:szCs w:val="24"/>
              </w:rPr>
              <w:t>单价（元）</w:t>
            </w:r>
          </w:p>
        </w:tc>
        <w:tc>
          <w:tcPr>
            <w:tcW w:w="70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C657B73">
            <w:pPr>
              <w:spacing w:line="240" w:lineRule="auto"/>
              <w:ind w:firstLine="0"/>
              <w:jc w:val="center"/>
              <w:rPr>
                <w:rFonts w:hint="default" w:ascii="Arial" w:hAnsi="Arial" w:eastAsia="Arial" w:cs="Times New Roman"/>
                <w:b/>
                <w:bCs w:val="0"/>
                <w:kern w:val="0"/>
                <w:sz w:val="22"/>
                <w:szCs w:val="24"/>
              </w:rPr>
            </w:pPr>
            <w:r>
              <w:rPr>
                <w:rFonts w:hint="eastAsia" w:ascii="Arial" w:hAnsi="Arial" w:eastAsia="Arial" w:cs="Times New Roman"/>
                <w:b/>
                <w:bCs w:val="0"/>
                <w:kern w:val="0"/>
                <w:sz w:val="22"/>
                <w:szCs w:val="24"/>
              </w:rPr>
              <w:t>合价（元）</w:t>
            </w:r>
          </w:p>
        </w:tc>
      </w:tr>
      <w:tr w14:paraId="0AB2EF2B">
        <w:tblPrEx>
          <w:tblCellMar>
            <w:top w:w="15" w:type="dxa"/>
            <w:left w:w="15" w:type="dxa"/>
            <w:bottom w:w="0" w:type="dxa"/>
            <w:right w:w="15" w:type="dxa"/>
          </w:tblCellMar>
        </w:tblPrEx>
        <w:trPr>
          <w:trHeight w:val="696" w:hRule="atLeast"/>
          <w:jc w:val="center"/>
        </w:trPr>
        <w:tc>
          <w:tcPr>
            <w:tcW w:w="3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1AEAA05">
            <w:pPr>
              <w:spacing w:line="240" w:lineRule="auto"/>
              <w:ind w:firstLine="0"/>
              <w:jc w:val="center"/>
              <w:rPr>
                <w:rFonts w:hint="default" w:ascii="Arial" w:hAnsi="Arial" w:eastAsia="Arial" w:cs="Times New Roman"/>
                <w:b/>
                <w:bCs w:val="0"/>
                <w:kern w:val="0"/>
                <w:sz w:val="22"/>
                <w:szCs w:val="24"/>
              </w:rPr>
            </w:pPr>
          </w:p>
        </w:tc>
        <w:tc>
          <w:tcPr>
            <w:tcW w:w="11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9025D59">
            <w:pPr>
              <w:spacing w:line="240" w:lineRule="auto"/>
              <w:ind w:firstLine="0"/>
              <w:jc w:val="center"/>
              <w:rPr>
                <w:rFonts w:hint="default" w:ascii="Arial" w:hAnsi="Arial" w:eastAsia="Arial" w:cs="Times New Roman"/>
                <w:b/>
                <w:bCs w:val="0"/>
                <w:kern w:val="0"/>
                <w:sz w:val="22"/>
                <w:szCs w:val="24"/>
              </w:rPr>
            </w:pPr>
          </w:p>
        </w:tc>
        <w:tc>
          <w:tcPr>
            <w:tcW w:w="109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384EBFE">
            <w:pPr>
              <w:spacing w:line="240" w:lineRule="auto"/>
              <w:ind w:firstLine="0"/>
              <w:jc w:val="center"/>
              <w:rPr>
                <w:rFonts w:hint="default" w:ascii="Arial" w:hAnsi="Arial" w:eastAsia="Arial" w:cs="Times New Roman"/>
                <w:b/>
                <w:bCs w:val="0"/>
                <w:kern w:val="0"/>
                <w:sz w:val="22"/>
                <w:szCs w:val="24"/>
              </w:rPr>
            </w:pPr>
          </w:p>
        </w:tc>
        <w:tc>
          <w:tcPr>
            <w:tcW w:w="55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FDDA18E">
            <w:pPr>
              <w:spacing w:line="240" w:lineRule="auto"/>
              <w:ind w:firstLine="0"/>
              <w:jc w:val="center"/>
              <w:rPr>
                <w:rFonts w:hint="default" w:ascii="Arial" w:hAnsi="Arial" w:eastAsia="Arial" w:cs="Times New Roman"/>
                <w:b/>
                <w:bCs w:val="0"/>
                <w:kern w:val="0"/>
                <w:sz w:val="22"/>
                <w:szCs w:val="24"/>
              </w:rPr>
            </w:pPr>
          </w:p>
        </w:tc>
        <w:tc>
          <w:tcPr>
            <w:tcW w:w="43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0819F87">
            <w:pPr>
              <w:spacing w:line="240" w:lineRule="auto"/>
              <w:ind w:firstLine="0"/>
              <w:jc w:val="center"/>
              <w:rPr>
                <w:rFonts w:hint="default" w:ascii="Arial" w:hAnsi="Arial" w:eastAsia="Arial" w:cs="Times New Roman"/>
                <w:b/>
                <w:bCs w:val="0"/>
                <w:kern w:val="0"/>
                <w:sz w:val="22"/>
                <w:szCs w:val="24"/>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2045764">
            <w:pPr>
              <w:spacing w:line="240" w:lineRule="auto"/>
              <w:ind w:firstLine="0"/>
              <w:jc w:val="center"/>
              <w:rPr>
                <w:rFonts w:hint="default" w:ascii="Arial" w:hAnsi="Arial" w:eastAsia="Arial" w:cs="Times New Roman"/>
                <w:b/>
                <w:bCs w:val="0"/>
                <w:kern w:val="0"/>
                <w:sz w:val="22"/>
                <w:szCs w:val="24"/>
              </w:rPr>
            </w:pPr>
          </w:p>
        </w:tc>
        <w:tc>
          <w:tcPr>
            <w:tcW w:w="70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877401C">
            <w:pPr>
              <w:spacing w:line="240" w:lineRule="auto"/>
              <w:ind w:firstLine="0"/>
              <w:jc w:val="center"/>
              <w:rPr>
                <w:rFonts w:hint="default" w:ascii="Arial" w:hAnsi="Arial" w:eastAsia="Arial" w:cs="Times New Roman"/>
                <w:b/>
                <w:bCs w:val="0"/>
                <w:kern w:val="0"/>
                <w:sz w:val="22"/>
                <w:szCs w:val="24"/>
              </w:rPr>
            </w:pPr>
          </w:p>
        </w:tc>
      </w:tr>
      <w:tr w14:paraId="3A255816">
        <w:tblPrEx>
          <w:tblCellMar>
            <w:top w:w="15" w:type="dxa"/>
            <w:left w:w="15" w:type="dxa"/>
            <w:bottom w:w="0" w:type="dxa"/>
            <w:right w:w="15" w:type="dxa"/>
          </w:tblCellMar>
        </w:tblPrEx>
        <w:trPr>
          <w:trHeight w:val="795" w:hRule="atLeast"/>
          <w:jc w:val="center"/>
        </w:trPr>
        <w:tc>
          <w:tcPr>
            <w:tcW w:w="3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62C8C2F">
            <w:pPr>
              <w:spacing w:line="240" w:lineRule="auto"/>
              <w:ind w:firstLine="0"/>
              <w:jc w:val="center"/>
              <w:rPr>
                <w:rFonts w:hint="default" w:ascii="Arial" w:hAnsi="Arial" w:eastAsia="Arial" w:cs="Times New Roman"/>
                <w:b/>
                <w:bCs w:val="0"/>
                <w:kern w:val="0"/>
                <w:sz w:val="22"/>
                <w:szCs w:val="24"/>
              </w:rPr>
            </w:pPr>
          </w:p>
        </w:tc>
        <w:tc>
          <w:tcPr>
            <w:tcW w:w="11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372E8FC">
            <w:pPr>
              <w:spacing w:line="240" w:lineRule="auto"/>
              <w:ind w:firstLine="0"/>
              <w:jc w:val="center"/>
              <w:rPr>
                <w:rFonts w:hint="default" w:ascii="Arial" w:hAnsi="Arial" w:eastAsia="Arial" w:cs="Times New Roman"/>
                <w:b/>
                <w:bCs w:val="0"/>
                <w:kern w:val="0"/>
                <w:sz w:val="22"/>
                <w:szCs w:val="24"/>
              </w:rPr>
            </w:pPr>
          </w:p>
        </w:tc>
        <w:tc>
          <w:tcPr>
            <w:tcW w:w="109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FCE785A">
            <w:pPr>
              <w:spacing w:line="240" w:lineRule="auto"/>
              <w:ind w:firstLine="0"/>
              <w:jc w:val="center"/>
              <w:rPr>
                <w:rFonts w:hint="default" w:ascii="Arial" w:hAnsi="Arial" w:eastAsia="Arial" w:cs="Times New Roman"/>
                <w:b/>
                <w:bCs w:val="0"/>
                <w:kern w:val="0"/>
                <w:sz w:val="22"/>
                <w:szCs w:val="24"/>
              </w:rPr>
            </w:pPr>
          </w:p>
        </w:tc>
        <w:tc>
          <w:tcPr>
            <w:tcW w:w="55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ABEC8BE">
            <w:pPr>
              <w:spacing w:line="240" w:lineRule="auto"/>
              <w:ind w:firstLine="0"/>
              <w:jc w:val="center"/>
              <w:rPr>
                <w:rFonts w:hint="default" w:ascii="Arial" w:hAnsi="Arial" w:eastAsia="Arial" w:cs="Times New Roman"/>
                <w:b/>
                <w:bCs w:val="0"/>
                <w:kern w:val="0"/>
                <w:sz w:val="22"/>
                <w:szCs w:val="24"/>
              </w:rPr>
            </w:pPr>
          </w:p>
        </w:tc>
        <w:tc>
          <w:tcPr>
            <w:tcW w:w="43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A7FCA3">
            <w:pPr>
              <w:spacing w:line="240" w:lineRule="auto"/>
              <w:ind w:firstLine="0"/>
              <w:jc w:val="center"/>
              <w:rPr>
                <w:rFonts w:hint="default" w:ascii="Arial" w:hAnsi="Arial" w:eastAsia="Arial" w:cs="Times New Roman"/>
                <w:b/>
                <w:bCs w:val="0"/>
                <w:kern w:val="0"/>
                <w:sz w:val="22"/>
                <w:szCs w:val="24"/>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44CE49">
            <w:pPr>
              <w:spacing w:line="240" w:lineRule="auto"/>
              <w:ind w:firstLine="0"/>
              <w:jc w:val="center"/>
              <w:rPr>
                <w:rFonts w:hint="default" w:ascii="Arial" w:hAnsi="Arial" w:eastAsia="Arial" w:cs="Times New Roman"/>
                <w:b/>
                <w:bCs w:val="0"/>
                <w:kern w:val="0"/>
                <w:sz w:val="22"/>
                <w:szCs w:val="24"/>
              </w:rPr>
            </w:pPr>
          </w:p>
        </w:tc>
        <w:tc>
          <w:tcPr>
            <w:tcW w:w="70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E6FB53A">
            <w:pPr>
              <w:spacing w:line="240" w:lineRule="auto"/>
              <w:ind w:firstLine="0"/>
              <w:jc w:val="center"/>
              <w:rPr>
                <w:rFonts w:hint="default" w:ascii="Arial" w:hAnsi="Arial" w:eastAsia="Arial" w:cs="Times New Roman"/>
                <w:b/>
                <w:bCs w:val="0"/>
                <w:kern w:val="0"/>
                <w:sz w:val="22"/>
                <w:szCs w:val="24"/>
              </w:rPr>
            </w:pPr>
          </w:p>
        </w:tc>
      </w:tr>
      <w:tr w14:paraId="62E6981B">
        <w:tblPrEx>
          <w:tblCellMar>
            <w:top w:w="15" w:type="dxa"/>
            <w:left w:w="15" w:type="dxa"/>
            <w:bottom w:w="0" w:type="dxa"/>
            <w:right w:w="15" w:type="dxa"/>
          </w:tblCellMar>
        </w:tblPrEx>
        <w:trPr>
          <w:trHeight w:val="795" w:hRule="atLeast"/>
          <w:jc w:val="center"/>
        </w:trPr>
        <w:tc>
          <w:tcPr>
            <w:tcW w:w="3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B2E98C">
            <w:pPr>
              <w:spacing w:line="240" w:lineRule="auto"/>
              <w:ind w:firstLine="0"/>
              <w:jc w:val="center"/>
              <w:rPr>
                <w:rFonts w:hint="default" w:ascii="Arial" w:hAnsi="Arial" w:eastAsia="Arial" w:cs="Times New Roman"/>
                <w:b/>
                <w:bCs w:val="0"/>
                <w:kern w:val="0"/>
                <w:sz w:val="22"/>
                <w:szCs w:val="24"/>
              </w:rPr>
            </w:pPr>
          </w:p>
        </w:tc>
        <w:tc>
          <w:tcPr>
            <w:tcW w:w="11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3A539F9">
            <w:pPr>
              <w:spacing w:line="240" w:lineRule="auto"/>
              <w:ind w:firstLine="0"/>
              <w:jc w:val="center"/>
              <w:rPr>
                <w:rFonts w:hint="default" w:ascii="Arial" w:hAnsi="Arial" w:eastAsia="Arial" w:cs="Times New Roman"/>
                <w:b/>
                <w:bCs w:val="0"/>
                <w:kern w:val="0"/>
                <w:sz w:val="22"/>
                <w:szCs w:val="24"/>
              </w:rPr>
            </w:pPr>
          </w:p>
        </w:tc>
        <w:tc>
          <w:tcPr>
            <w:tcW w:w="109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96ABD8D">
            <w:pPr>
              <w:spacing w:line="240" w:lineRule="auto"/>
              <w:ind w:firstLine="0"/>
              <w:jc w:val="center"/>
              <w:rPr>
                <w:rFonts w:hint="default" w:ascii="Arial" w:hAnsi="Arial" w:eastAsia="Arial" w:cs="Times New Roman"/>
                <w:b/>
                <w:bCs w:val="0"/>
                <w:kern w:val="0"/>
                <w:sz w:val="22"/>
                <w:szCs w:val="24"/>
              </w:rPr>
            </w:pPr>
          </w:p>
        </w:tc>
        <w:tc>
          <w:tcPr>
            <w:tcW w:w="55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F29C0B">
            <w:pPr>
              <w:spacing w:line="240" w:lineRule="auto"/>
              <w:ind w:firstLine="0"/>
              <w:jc w:val="center"/>
              <w:rPr>
                <w:rFonts w:hint="default" w:ascii="Arial" w:hAnsi="Arial" w:eastAsia="Arial" w:cs="Times New Roman"/>
                <w:b/>
                <w:bCs w:val="0"/>
                <w:kern w:val="0"/>
                <w:sz w:val="22"/>
                <w:szCs w:val="24"/>
              </w:rPr>
            </w:pPr>
          </w:p>
        </w:tc>
        <w:tc>
          <w:tcPr>
            <w:tcW w:w="43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E63823C">
            <w:pPr>
              <w:spacing w:line="240" w:lineRule="auto"/>
              <w:ind w:firstLine="0"/>
              <w:jc w:val="center"/>
              <w:rPr>
                <w:rFonts w:hint="default" w:ascii="Arial" w:hAnsi="Arial" w:eastAsia="Arial" w:cs="Times New Roman"/>
                <w:b/>
                <w:bCs w:val="0"/>
                <w:kern w:val="0"/>
                <w:sz w:val="22"/>
                <w:szCs w:val="24"/>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0FDF6D3">
            <w:pPr>
              <w:spacing w:line="240" w:lineRule="auto"/>
              <w:ind w:firstLine="0"/>
              <w:jc w:val="center"/>
              <w:rPr>
                <w:rFonts w:hint="default" w:ascii="Arial" w:hAnsi="Arial" w:eastAsia="Arial" w:cs="Times New Roman"/>
                <w:b/>
                <w:bCs w:val="0"/>
                <w:kern w:val="0"/>
                <w:sz w:val="22"/>
                <w:szCs w:val="24"/>
              </w:rPr>
            </w:pPr>
          </w:p>
        </w:tc>
        <w:tc>
          <w:tcPr>
            <w:tcW w:w="70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E28C388">
            <w:pPr>
              <w:spacing w:line="240" w:lineRule="auto"/>
              <w:ind w:firstLine="0"/>
              <w:jc w:val="center"/>
              <w:rPr>
                <w:rFonts w:hint="default" w:ascii="Arial" w:hAnsi="Arial" w:eastAsia="Arial" w:cs="Times New Roman"/>
                <w:b/>
                <w:bCs w:val="0"/>
                <w:kern w:val="0"/>
                <w:sz w:val="22"/>
                <w:szCs w:val="24"/>
              </w:rPr>
            </w:pPr>
          </w:p>
        </w:tc>
      </w:tr>
      <w:tr w14:paraId="0D218AB5">
        <w:tblPrEx>
          <w:tblCellMar>
            <w:top w:w="15" w:type="dxa"/>
            <w:left w:w="15" w:type="dxa"/>
            <w:bottom w:w="0" w:type="dxa"/>
            <w:right w:w="15" w:type="dxa"/>
          </w:tblCellMar>
        </w:tblPrEx>
        <w:trPr>
          <w:trHeight w:val="645" w:hRule="atLeast"/>
          <w:jc w:val="center"/>
        </w:trPr>
        <w:tc>
          <w:tcPr>
            <w:tcW w:w="3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B8B3CE">
            <w:pPr>
              <w:spacing w:line="240" w:lineRule="auto"/>
              <w:ind w:firstLine="0"/>
              <w:jc w:val="center"/>
              <w:rPr>
                <w:rFonts w:hint="default" w:ascii="Arial" w:hAnsi="Arial" w:eastAsia="Arial" w:cs="Times New Roman"/>
                <w:b/>
                <w:bCs w:val="0"/>
                <w:kern w:val="0"/>
                <w:sz w:val="22"/>
                <w:szCs w:val="24"/>
              </w:rPr>
            </w:pPr>
          </w:p>
        </w:tc>
        <w:tc>
          <w:tcPr>
            <w:tcW w:w="114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B20D824">
            <w:pPr>
              <w:spacing w:line="240" w:lineRule="auto"/>
              <w:ind w:firstLine="0"/>
              <w:jc w:val="center"/>
              <w:rPr>
                <w:rFonts w:hint="default" w:ascii="Arial" w:hAnsi="Arial" w:eastAsia="Arial" w:cs="Times New Roman"/>
                <w:b/>
                <w:bCs w:val="0"/>
                <w:kern w:val="0"/>
                <w:sz w:val="22"/>
                <w:szCs w:val="24"/>
              </w:rPr>
            </w:pPr>
          </w:p>
        </w:tc>
        <w:tc>
          <w:tcPr>
            <w:tcW w:w="109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891676">
            <w:pPr>
              <w:spacing w:line="240" w:lineRule="auto"/>
              <w:ind w:firstLine="0"/>
              <w:jc w:val="center"/>
              <w:rPr>
                <w:rFonts w:hint="default" w:ascii="Arial" w:hAnsi="Arial" w:eastAsia="Arial" w:cs="Times New Roman"/>
                <w:b/>
                <w:bCs w:val="0"/>
                <w:kern w:val="0"/>
                <w:sz w:val="22"/>
                <w:szCs w:val="24"/>
              </w:rPr>
            </w:pPr>
          </w:p>
        </w:tc>
        <w:tc>
          <w:tcPr>
            <w:tcW w:w="55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5EC1AF">
            <w:pPr>
              <w:spacing w:line="240" w:lineRule="auto"/>
              <w:ind w:firstLine="0"/>
              <w:jc w:val="center"/>
              <w:rPr>
                <w:rFonts w:hint="default" w:ascii="Arial" w:hAnsi="Arial" w:eastAsia="Arial" w:cs="Times New Roman"/>
                <w:b/>
                <w:bCs w:val="0"/>
                <w:kern w:val="0"/>
                <w:sz w:val="22"/>
                <w:szCs w:val="24"/>
              </w:rPr>
            </w:pPr>
          </w:p>
        </w:tc>
        <w:tc>
          <w:tcPr>
            <w:tcW w:w="43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4177C7B">
            <w:pPr>
              <w:spacing w:line="240" w:lineRule="auto"/>
              <w:ind w:firstLine="0"/>
              <w:jc w:val="center"/>
              <w:rPr>
                <w:rFonts w:hint="default" w:ascii="Arial" w:hAnsi="Arial" w:eastAsia="Arial" w:cs="Times New Roman"/>
                <w:b/>
                <w:bCs w:val="0"/>
                <w:kern w:val="0"/>
                <w:sz w:val="22"/>
                <w:szCs w:val="24"/>
              </w:rPr>
            </w:pPr>
          </w:p>
        </w:tc>
        <w:tc>
          <w:tcPr>
            <w:tcW w:w="71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12D0281">
            <w:pPr>
              <w:spacing w:line="240" w:lineRule="auto"/>
              <w:ind w:firstLine="0"/>
              <w:jc w:val="center"/>
              <w:rPr>
                <w:rFonts w:hint="default" w:ascii="Arial" w:hAnsi="Arial" w:eastAsia="Arial" w:cs="Times New Roman"/>
                <w:b/>
                <w:bCs w:val="0"/>
                <w:kern w:val="0"/>
                <w:sz w:val="22"/>
                <w:szCs w:val="24"/>
              </w:rPr>
            </w:pPr>
          </w:p>
        </w:tc>
        <w:tc>
          <w:tcPr>
            <w:tcW w:w="70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EA7BD56">
            <w:pPr>
              <w:spacing w:line="240" w:lineRule="auto"/>
              <w:ind w:firstLine="0"/>
              <w:jc w:val="center"/>
              <w:rPr>
                <w:rFonts w:hint="default" w:ascii="Arial" w:hAnsi="Arial" w:eastAsia="Arial" w:cs="Times New Roman"/>
                <w:b/>
                <w:bCs w:val="0"/>
                <w:kern w:val="0"/>
                <w:sz w:val="22"/>
                <w:szCs w:val="24"/>
              </w:rPr>
            </w:pPr>
          </w:p>
        </w:tc>
      </w:tr>
      <w:tr w14:paraId="0E731F5E">
        <w:tblPrEx>
          <w:tblCellMar>
            <w:top w:w="15" w:type="dxa"/>
            <w:left w:w="15" w:type="dxa"/>
            <w:bottom w:w="0" w:type="dxa"/>
            <w:right w:w="15" w:type="dxa"/>
          </w:tblCellMar>
        </w:tblPrEx>
        <w:trPr>
          <w:cantSplit/>
          <w:trHeight w:val="738" w:hRule="atLeast"/>
          <w:jc w:val="center"/>
        </w:trPr>
        <w:tc>
          <w:tcPr>
            <w:tcW w:w="1489" w:type="pct"/>
            <w:gridSpan w:val="2"/>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78DE2C">
            <w:pPr>
              <w:spacing w:line="240" w:lineRule="auto"/>
              <w:ind w:firstLine="0"/>
              <w:jc w:val="center"/>
              <w:rPr>
                <w:rFonts w:hint="default" w:ascii="Arial" w:hAnsi="Arial" w:eastAsia="Arial" w:cs="Times New Roman"/>
                <w:b/>
                <w:bCs w:val="0"/>
                <w:kern w:val="0"/>
                <w:sz w:val="22"/>
                <w:szCs w:val="24"/>
              </w:rPr>
            </w:pPr>
            <w:r>
              <w:rPr>
                <w:rFonts w:hint="eastAsia" w:ascii="Arial" w:hAnsi="Arial" w:eastAsia="Arial" w:cs="Times New Roman"/>
                <w:b/>
                <w:bCs w:val="0"/>
                <w:kern w:val="0"/>
                <w:sz w:val="22"/>
                <w:szCs w:val="24"/>
              </w:rPr>
              <w:t>投标总价</w:t>
            </w:r>
          </w:p>
        </w:tc>
        <w:tc>
          <w:tcPr>
            <w:tcW w:w="3510" w:type="pct"/>
            <w:gridSpan w:val="5"/>
            <w:tcBorders>
              <w:top w:val="nil"/>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E6B8C3F">
            <w:pPr>
              <w:spacing w:line="240" w:lineRule="auto"/>
              <w:ind w:firstLine="0"/>
              <w:jc w:val="left"/>
              <w:rPr>
                <w:rFonts w:hint="default" w:ascii="Arial" w:hAnsi="Arial" w:eastAsia="Arial" w:cs="宋体"/>
                <w:b/>
                <w:bCs w:val="0"/>
                <w:kern w:val="0"/>
                <w:sz w:val="22"/>
                <w:szCs w:val="24"/>
              </w:rPr>
            </w:pPr>
            <w:r>
              <w:rPr>
                <w:rFonts w:hint="eastAsia" w:ascii="Arial" w:hAnsi="Arial" w:eastAsia="Arial" w:cs="Times New Roman"/>
                <w:b w:val="0"/>
                <w:bCs/>
                <w:kern w:val="0"/>
                <w:sz w:val="22"/>
                <w:szCs w:val="24"/>
              </w:rPr>
              <w:t>大写：</w:t>
            </w:r>
            <w:r>
              <w:rPr>
                <w:rFonts w:hint="eastAsia" w:ascii="Arial" w:hAnsi="Arial" w:eastAsia="Arial" w:cs="Times New Roman"/>
                <w:b w:val="0"/>
                <w:bCs/>
                <w:kern w:val="0"/>
                <w:sz w:val="22"/>
                <w:szCs w:val="24"/>
                <w:u w:val="single"/>
              </w:rPr>
              <w:t xml:space="preserve">             元</w:t>
            </w:r>
            <w:r>
              <w:rPr>
                <w:rFonts w:hint="eastAsia" w:ascii="Arial" w:hAnsi="Arial" w:eastAsia="Arial" w:cs="Times New Roman"/>
                <w:b w:val="0"/>
                <w:bCs/>
                <w:kern w:val="0"/>
                <w:sz w:val="22"/>
                <w:szCs w:val="24"/>
              </w:rPr>
              <w:t>（小写：</w:t>
            </w:r>
            <w:r>
              <w:rPr>
                <w:rFonts w:hint="eastAsia" w:ascii="Arial" w:hAnsi="Arial" w:eastAsia="Arial" w:cs="Times New Roman"/>
                <w:b w:val="0"/>
                <w:bCs/>
                <w:kern w:val="0"/>
                <w:sz w:val="22"/>
                <w:szCs w:val="24"/>
                <w:u w:val="single"/>
              </w:rPr>
              <w:t xml:space="preserve">         </w:t>
            </w:r>
            <w:r>
              <w:rPr>
                <w:rFonts w:hint="eastAsia" w:ascii="Arial" w:hAnsi="Arial" w:eastAsia="Arial" w:cs="Times New Roman"/>
                <w:b w:val="0"/>
                <w:bCs/>
                <w:kern w:val="0"/>
                <w:sz w:val="22"/>
                <w:szCs w:val="24"/>
              </w:rPr>
              <w:t>元）</w:t>
            </w:r>
          </w:p>
        </w:tc>
      </w:tr>
    </w:tbl>
    <w:p w14:paraId="71EB1642">
      <w:pPr>
        <w:spacing w:line="360" w:lineRule="auto"/>
        <w:ind w:firstLine="480"/>
        <w:jc w:val="left"/>
        <w:rPr>
          <w:rFonts w:hint="default" w:ascii="Calibri" w:hAnsi="Calibri" w:eastAsia="Arial" w:cs="Times New Roman"/>
          <w:kern w:val="0"/>
          <w:sz w:val="22"/>
          <w:szCs w:val="22"/>
        </w:rPr>
      </w:pPr>
      <w:r>
        <w:rPr>
          <w:rFonts w:hint="eastAsia" w:ascii="Calibri" w:hAnsi="Calibri" w:eastAsia="Arial" w:cs="Times New Roman"/>
          <w:kern w:val="0"/>
          <w:sz w:val="22"/>
          <w:szCs w:val="22"/>
        </w:rPr>
        <w:t>注：</w:t>
      </w:r>
    </w:p>
    <w:p w14:paraId="6876691D">
      <w:pPr>
        <w:spacing w:line="360" w:lineRule="auto"/>
        <w:ind w:firstLine="480"/>
        <w:jc w:val="left"/>
        <w:rPr>
          <w:rFonts w:hint="default" w:ascii="Arial" w:hAnsi="Arial" w:eastAsia="Arial" w:cs="宋体"/>
          <w:kern w:val="0"/>
          <w:sz w:val="22"/>
          <w:szCs w:val="24"/>
        </w:rPr>
      </w:pPr>
      <w:r>
        <w:rPr>
          <w:rFonts w:hint="eastAsia" w:ascii="Calibri" w:hAnsi="Calibri" w:eastAsia="Arial" w:cs="Times New Roman"/>
          <w:kern w:val="0"/>
          <w:sz w:val="22"/>
          <w:szCs w:val="22"/>
        </w:rPr>
        <w:t>（1）</w:t>
      </w:r>
      <w:r>
        <w:rPr>
          <w:rFonts w:hint="eastAsia" w:ascii="Arial" w:hAnsi="Arial" w:eastAsia="Arial" w:cs="宋体"/>
          <w:kern w:val="0"/>
          <w:sz w:val="22"/>
          <w:szCs w:val="24"/>
        </w:rPr>
        <w:t>报价除标的物的价款外还应包括（但不限于）标的物、采购、包装、运输、验收、售后服务、货物（含附配件）的价格、安装调试、包装费、运输费、装卸费、保险费、验收费、与各类系统对接、设备接入兼容所需的费用、技术服务费、检测费、售后服务费、保险、招标代理费、规费、税费等全部费用。</w:t>
      </w:r>
    </w:p>
    <w:p w14:paraId="1A43EE9A">
      <w:pPr>
        <w:spacing w:line="360" w:lineRule="auto"/>
        <w:ind w:firstLine="480"/>
        <w:jc w:val="left"/>
        <w:rPr>
          <w:rFonts w:hint="default" w:ascii="Arial" w:hAnsi="Arial" w:eastAsia="Arial" w:cs="宋体"/>
          <w:kern w:val="0"/>
          <w:sz w:val="22"/>
          <w:szCs w:val="24"/>
        </w:rPr>
      </w:pPr>
      <w:r>
        <w:rPr>
          <w:rFonts w:hint="eastAsia" w:ascii="Arial" w:hAnsi="Arial" w:eastAsia="Arial" w:cs="宋体"/>
          <w:kern w:val="0"/>
          <w:sz w:val="22"/>
          <w:szCs w:val="24"/>
        </w:rPr>
        <w:t>（2）本项目采用固定综合单价按实结算方式，综合单价不论在何种情况下一律不予调整，供货时按实际供货并通过验收的数量结算。结算价=Σ中标综合单价*实际供货并通过验收的数量。</w:t>
      </w:r>
    </w:p>
    <w:p w14:paraId="0BAC304D">
      <w:pPr>
        <w:pStyle w:val="8"/>
        <w:spacing w:beforeAutospacing="0" w:afterAutospacing="0"/>
        <w:jc w:val="both"/>
        <w:rPr>
          <w:sz w:val="22"/>
          <w:szCs w:val="22"/>
          <w:highlight w:val="none"/>
          <w:shd w:val="clear" w:color="auto" w:fill="auto"/>
        </w:rPr>
      </w:pPr>
    </w:p>
    <w:p w14:paraId="2ABE12AF">
      <w:pPr>
        <w:spacing w:line="360" w:lineRule="auto"/>
        <w:ind w:firstLine="2240"/>
        <w:jc w:val="right"/>
        <w:rPr>
          <w:rFonts w:hint="eastAsia" w:ascii="宋体" w:hAnsi="宋体" w:eastAsia="宋体" w:cs="宋体"/>
          <w:kern w:val="0"/>
          <w:sz w:val="24"/>
          <w:szCs w:val="22"/>
        </w:rPr>
      </w:pPr>
      <w:r>
        <w:rPr>
          <w:rFonts w:hint="eastAsia" w:ascii="宋体" w:hAnsi="宋体" w:eastAsia="宋体" w:cs="宋体"/>
          <w:sz w:val="20"/>
          <w:szCs w:val="22"/>
          <w:highlight w:val="none"/>
          <w:shd w:val="clear" w:color="auto" w:fill="auto"/>
        </w:rPr>
        <w:t> </w:t>
      </w:r>
      <w:r>
        <w:rPr>
          <w:rFonts w:hint="eastAsia" w:ascii="宋体" w:hAnsi="宋体" w:eastAsia="宋体" w:cs="宋体"/>
          <w:kern w:val="0"/>
          <w:sz w:val="24"/>
          <w:szCs w:val="22"/>
        </w:rPr>
        <w:t>企业名称（加盖CA电子公章）</w:t>
      </w:r>
      <w:r>
        <w:rPr>
          <w:rFonts w:hint="eastAsia" w:ascii="宋体" w:hAnsi="宋体" w:eastAsia="宋体" w:cs="宋体"/>
          <w:kern w:val="0"/>
          <w:sz w:val="24"/>
          <w:szCs w:val="20"/>
        </w:rPr>
        <w:t>：</w:t>
      </w:r>
    </w:p>
    <w:p w14:paraId="104746E1">
      <w:pPr>
        <w:pStyle w:val="8"/>
        <w:spacing w:beforeAutospacing="0" w:afterAutospacing="0" w:line="360" w:lineRule="auto"/>
        <w:jc w:val="right"/>
        <w:rPr>
          <w:rFonts w:hint="eastAsia" w:ascii="宋体" w:hAnsi="宋体" w:eastAsia="宋体" w:cs="宋体"/>
          <w:sz w:val="22"/>
          <w:szCs w:val="22"/>
          <w:highlight w:val="none"/>
          <w:shd w:val="clear" w:color="auto" w:fill="auto"/>
        </w:rPr>
      </w:pPr>
      <w:r>
        <w:rPr>
          <w:rFonts w:hint="eastAsia" w:ascii="宋体" w:hAnsi="宋体" w:eastAsia="宋体" w:cs="宋体"/>
          <w:kern w:val="0"/>
          <w:sz w:val="24"/>
          <w:szCs w:val="22"/>
          <w:u w:val="single"/>
        </w:rPr>
        <w:t xml:space="preserve">            </w:t>
      </w:r>
      <w:r>
        <w:rPr>
          <w:rFonts w:hint="eastAsia" w:ascii="宋体" w:hAnsi="宋体" w:eastAsia="宋体" w:cs="宋体"/>
          <w:kern w:val="0"/>
          <w:sz w:val="24"/>
          <w:szCs w:val="22"/>
        </w:rPr>
        <w:t>年</w:t>
      </w:r>
      <w:r>
        <w:rPr>
          <w:rFonts w:hint="eastAsia" w:ascii="宋体" w:hAnsi="宋体" w:eastAsia="宋体" w:cs="宋体"/>
          <w:kern w:val="0"/>
          <w:sz w:val="24"/>
          <w:szCs w:val="22"/>
          <w:u w:val="single"/>
        </w:rPr>
        <w:t xml:space="preserve">    </w:t>
      </w:r>
      <w:r>
        <w:rPr>
          <w:rFonts w:hint="eastAsia" w:ascii="宋体" w:hAnsi="宋体" w:eastAsia="宋体" w:cs="宋体"/>
          <w:kern w:val="0"/>
          <w:sz w:val="24"/>
          <w:szCs w:val="22"/>
        </w:rPr>
        <w:t>月</w:t>
      </w:r>
      <w:r>
        <w:rPr>
          <w:rFonts w:hint="eastAsia" w:ascii="宋体" w:hAnsi="宋体" w:eastAsia="宋体" w:cs="宋体"/>
          <w:kern w:val="0"/>
          <w:sz w:val="24"/>
          <w:szCs w:val="22"/>
          <w:u w:val="single"/>
        </w:rPr>
        <w:t xml:space="preserve">    </w:t>
      </w:r>
      <w:r>
        <w:rPr>
          <w:rFonts w:hint="eastAsia" w:ascii="宋体" w:hAnsi="宋体" w:eastAsia="宋体" w:cs="宋体"/>
          <w:kern w:val="0"/>
          <w:sz w:val="24"/>
          <w:szCs w:val="22"/>
        </w:rPr>
        <w:t>日</w:t>
      </w:r>
    </w:p>
    <w:p w14:paraId="5C3CDF56">
      <w:pPr>
        <w:pStyle w:val="8"/>
        <w:spacing w:beforeAutospacing="0" w:afterAutospacing="0"/>
        <w:jc w:val="both"/>
        <w:rPr>
          <w:highlight w:val="none"/>
        </w:rPr>
      </w:pPr>
      <w:r>
        <w:rPr>
          <w:highlight w:val="none"/>
        </w:rPr>
        <w:t> </w:t>
      </w:r>
    </w:p>
    <w:p w14:paraId="391D295D">
      <w:pPr>
        <w:pStyle w:val="8"/>
        <w:spacing w:beforeAutospacing="0" w:afterAutospacing="0"/>
        <w:jc w:val="both"/>
        <w:rPr>
          <w:highlight w:val="none"/>
        </w:rPr>
      </w:pPr>
      <w:r>
        <w:rPr>
          <w:highlight w:val="none"/>
        </w:rPr>
        <w:t> </w:t>
      </w:r>
    </w:p>
    <w:p w14:paraId="2968EB93">
      <w:pPr>
        <w:pStyle w:val="8"/>
        <w:spacing w:beforeAutospacing="0" w:afterAutospacing="0"/>
        <w:jc w:val="both"/>
        <w:rPr>
          <w:highlight w:val="none"/>
        </w:rPr>
      </w:pPr>
      <w:r>
        <w:rPr>
          <w:highlight w:val="none"/>
        </w:rPr>
        <w:t> </w:t>
      </w:r>
    </w:p>
    <w:p w14:paraId="67AA6D10">
      <w:pPr>
        <w:pStyle w:val="8"/>
        <w:spacing w:beforeAutospacing="0" w:afterAutospacing="0"/>
        <w:jc w:val="both"/>
        <w:rPr>
          <w:highlight w:val="none"/>
        </w:rPr>
      </w:pPr>
      <w:r>
        <w:rPr>
          <w:highlight w:val="none"/>
        </w:rPr>
        <w:t> </w:t>
      </w:r>
    </w:p>
    <w:p w14:paraId="7966862D">
      <w:pPr>
        <w:pStyle w:val="8"/>
        <w:spacing w:beforeAutospacing="0" w:afterAutospacing="0"/>
        <w:jc w:val="both"/>
        <w:rPr>
          <w:highlight w:val="none"/>
        </w:rPr>
      </w:pPr>
      <w:r>
        <w:rPr>
          <w:highlight w:val="none"/>
        </w:rPr>
        <w:t> </w:t>
      </w:r>
    </w:p>
    <w:p w14:paraId="1D8AABCB">
      <w:pPr>
        <w:pStyle w:val="8"/>
        <w:spacing w:beforeAutospacing="0" w:afterAutospacing="0"/>
        <w:jc w:val="both"/>
        <w:rPr>
          <w:highlight w:val="none"/>
        </w:rPr>
      </w:pPr>
    </w:p>
    <w:p w14:paraId="3158510A">
      <w:pPr>
        <w:pStyle w:val="8"/>
        <w:spacing w:beforeAutospacing="0" w:afterAutospacing="0"/>
        <w:jc w:val="both"/>
        <w:rPr>
          <w:highlight w:val="none"/>
        </w:rPr>
      </w:pPr>
    </w:p>
    <w:p w14:paraId="03BCA0D6">
      <w:pPr>
        <w:pStyle w:val="8"/>
        <w:spacing w:beforeAutospacing="0" w:afterAutospacing="0"/>
        <w:jc w:val="both"/>
        <w:rPr>
          <w:highlight w:val="none"/>
        </w:rPr>
      </w:pPr>
    </w:p>
    <w:p w14:paraId="275D590C">
      <w:pPr>
        <w:pStyle w:val="8"/>
        <w:spacing w:beforeAutospacing="0" w:afterAutospacing="0"/>
        <w:jc w:val="both"/>
        <w:rPr>
          <w:highlight w:val="none"/>
        </w:rPr>
      </w:pPr>
    </w:p>
    <w:p w14:paraId="5314E87C">
      <w:pPr>
        <w:pStyle w:val="8"/>
        <w:spacing w:beforeAutospacing="0" w:afterAutospacing="0"/>
        <w:jc w:val="both"/>
        <w:rPr>
          <w:highlight w:val="none"/>
        </w:rPr>
      </w:pPr>
    </w:p>
    <w:p w14:paraId="3D09BC35">
      <w:pPr>
        <w:pStyle w:val="8"/>
        <w:spacing w:beforeAutospacing="0" w:afterAutospacing="0"/>
        <w:jc w:val="both"/>
        <w:rPr>
          <w:highlight w:val="none"/>
        </w:rPr>
      </w:pPr>
    </w:p>
    <w:p w14:paraId="1EBD95C1">
      <w:pPr>
        <w:pStyle w:val="8"/>
        <w:spacing w:beforeAutospacing="0" w:afterAutospacing="0"/>
        <w:jc w:val="both"/>
        <w:rPr>
          <w:highlight w:val="none"/>
        </w:rPr>
      </w:pPr>
    </w:p>
    <w:p w14:paraId="263EC39B">
      <w:pPr>
        <w:pStyle w:val="8"/>
        <w:spacing w:beforeAutospacing="0" w:afterAutospacing="0"/>
        <w:jc w:val="center"/>
        <w:rPr>
          <w:highlight w:val="none"/>
        </w:rPr>
      </w:pPr>
      <w:r>
        <w:rPr>
          <w:rFonts w:hint="eastAsia" w:ascii="黑体" w:hAnsi="宋体" w:eastAsia="黑体" w:cs="黑体"/>
          <w:b/>
          <w:color w:val="000000"/>
          <w:sz w:val="32"/>
          <w:szCs w:val="32"/>
          <w:highlight w:val="none"/>
        </w:rPr>
        <w:t>十三、技术要求响应及偏离表（分包号：**）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947ED7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9BAE">
            <w:pPr>
              <w:pStyle w:val="8"/>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42FC">
            <w:pPr>
              <w:pStyle w:val="8"/>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29C51">
            <w:pPr>
              <w:pStyle w:val="8"/>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B14B">
            <w:pPr>
              <w:pStyle w:val="8"/>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B8CD">
            <w:pPr>
              <w:pStyle w:val="8"/>
              <w:spacing w:beforeAutospacing="0" w:afterAutospacing="0"/>
              <w:jc w:val="center"/>
              <w:rPr>
                <w:highlight w:val="none"/>
              </w:rPr>
            </w:pPr>
            <w:r>
              <w:rPr>
                <w:rFonts w:hint="eastAsia" w:ascii="宋体" w:hAnsi="宋体" w:eastAsia="宋体" w:cs="宋体"/>
                <w:color w:val="000000"/>
                <w:highlight w:val="none"/>
              </w:rPr>
              <w:t>证明</w:t>
            </w:r>
          </w:p>
          <w:p w14:paraId="67058F1B">
            <w:pPr>
              <w:pStyle w:val="8"/>
              <w:spacing w:beforeAutospacing="0" w:afterAutospacing="0"/>
              <w:jc w:val="center"/>
              <w:rPr>
                <w:highlight w:val="none"/>
              </w:rPr>
            </w:pPr>
            <w:r>
              <w:rPr>
                <w:rFonts w:hint="eastAsia" w:ascii="宋体" w:hAnsi="宋体" w:eastAsia="宋体" w:cs="宋体"/>
                <w:color w:val="000000"/>
                <w:highlight w:val="none"/>
              </w:rPr>
              <w:t>材料</w:t>
            </w:r>
          </w:p>
        </w:tc>
      </w:tr>
      <w:tr w14:paraId="49116A8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F2F8">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780E">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3180">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91514">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27E">
            <w:pPr>
              <w:pStyle w:val="8"/>
              <w:spacing w:beforeAutospacing="0" w:afterAutospacing="0"/>
              <w:jc w:val="center"/>
              <w:rPr>
                <w:highlight w:val="none"/>
              </w:rPr>
            </w:pPr>
            <w:r>
              <w:rPr>
                <w:highlight w:val="none"/>
              </w:rPr>
              <w:t> </w:t>
            </w:r>
          </w:p>
        </w:tc>
      </w:tr>
      <w:tr w14:paraId="71461CA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3C1C">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C477">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0E729">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467F7">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41BE">
            <w:pPr>
              <w:pStyle w:val="8"/>
              <w:spacing w:beforeAutospacing="0" w:afterAutospacing="0"/>
              <w:jc w:val="center"/>
              <w:rPr>
                <w:highlight w:val="none"/>
              </w:rPr>
            </w:pPr>
            <w:r>
              <w:rPr>
                <w:highlight w:val="none"/>
              </w:rPr>
              <w:t> </w:t>
            </w:r>
          </w:p>
        </w:tc>
      </w:tr>
      <w:tr w14:paraId="30E1A92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9AFE">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1E88">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C901">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377B0">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888E">
            <w:pPr>
              <w:pStyle w:val="8"/>
              <w:spacing w:beforeAutospacing="0" w:afterAutospacing="0"/>
              <w:jc w:val="center"/>
              <w:rPr>
                <w:highlight w:val="none"/>
              </w:rPr>
            </w:pPr>
            <w:r>
              <w:rPr>
                <w:highlight w:val="none"/>
              </w:rPr>
              <w:t> </w:t>
            </w:r>
          </w:p>
        </w:tc>
      </w:tr>
      <w:tr w14:paraId="5B3EE96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8FB44">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4765F">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0F52">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E09E">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04CF">
            <w:pPr>
              <w:pStyle w:val="8"/>
              <w:spacing w:beforeAutospacing="0" w:afterAutospacing="0"/>
              <w:jc w:val="center"/>
              <w:rPr>
                <w:highlight w:val="none"/>
              </w:rPr>
            </w:pPr>
            <w:r>
              <w:rPr>
                <w:highlight w:val="none"/>
              </w:rPr>
              <w:t> </w:t>
            </w:r>
          </w:p>
        </w:tc>
      </w:tr>
      <w:tr w14:paraId="436A218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F68C">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59289">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164E">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E01C">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5063">
            <w:pPr>
              <w:pStyle w:val="8"/>
              <w:spacing w:beforeAutospacing="0" w:afterAutospacing="0"/>
              <w:jc w:val="center"/>
              <w:rPr>
                <w:highlight w:val="none"/>
              </w:rPr>
            </w:pPr>
            <w:r>
              <w:rPr>
                <w:highlight w:val="none"/>
              </w:rPr>
              <w:t> </w:t>
            </w:r>
          </w:p>
        </w:tc>
      </w:tr>
      <w:tr w14:paraId="24E3E33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AF43">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D1BC">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C8B6">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E6D4">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6C54">
            <w:pPr>
              <w:pStyle w:val="8"/>
              <w:spacing w:beforeAutospacing="0" w:afterAutospacing="0"/>
              <w:jc w:val="center"/>
              <w:rPr>
                <w:highlight w:val="none"/>
              </w:rPr>
            </w:pPr>
            <w:r>
              <w:rPr>
                <w:highlight w:val="none"/>
              </w:rPr>
              <w:t> </w:t>
            </w:r>
          </w:p>
        </w:tc>
      </w:tr>
      <w:tr w14:paraId="3238C6D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3828">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4D71">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3AD4">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787B">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69FD5">
            <w:pPr>
              <w:pStyle w:val="8"/>
              <w:spacing w:beforeAutospacing="0" w:afterAutospacing="0"/>
              <w:jc w:val="center"/>
              <w:rPr>
                <w:highlight w:val="none"/>
              </w:rPr>
            </w:pPr>
            <w:r>
              <w:rPr>
                <w:highlight w:val="none"/>
              </w:rPr>
              <w:t> </w:t>
            </w:r>
          </w:p>
        </w:tc>
      </w:tr>
      <w:tr w14:paraId="0E964A8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24A0">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8AB63">
            <w:pPr>
              <w:pStyle w:val="8"/>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3CAC">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7AE0">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F699">
            <w:pPr>
              <w:pStyle w:val="8"/>
              <w:spacing w:beforeAutospacing="0" w:afterAutospacing="0"/>
              <w:jc w:val="center"/>
              <w:rPr>
                <w:highlight w:val="none"/>
              </w:rPr>
            </w:pPr>
            <w:r>
              <w:rPr>
                <w:highlight w:val="none"/>
              </w:rPr>
              <w:t> </w:t>
            </w:r>
          </w:p>
        </w:tc>
      </w:tr>
    </w:tbl>
    <w:p w14:paraId="36AF6280">
      <w:pPr>
        <w:pStyle w:val="8"/>
        <w:spacing w:beforeAutospacing="0" w:afterAutospacing="0"/>
        <w:jc w:val="both"/>
        <w:rPr>
          <w:highlight w:val="none"/>
        </w:rPr>
      </w:pPr>
      <w:r>
        <w:rPr>
          <w:rFonts w:hint="eastAsia" w:ascii="宋体" w:hAnsi="宋体" w:eastAsia="宋体" w:cs="宋体"/>
          <w:color w:val="000000"/>
          <w:highlight w:val="none"/>
        </w:rPr>
        <w:t>注： 行数不够，可自行添加。</w:t>
      </w:r>
    </w:p>
    <w:p w14:paraId="4F1C81C5">
      <w:pPr>
        <w:pStyle w:val="8"/>
        <w:spacing w:beforeAutospacing="0" w:afterAutospacing="0"/>
        <w:jc w:val="center"/>
        <w:rPr>
          <w:highlight w:val="none"/>
        </w:rPr>
      </w:pPr>
      <w:r>
        <w:rPr>
          <w:highlight w:val="none"/>
        </w:rPr>
        <w:t> </w:t>
      </w:r>
    </w:p>
    <w:p w14:paraId="5D3ECF4B">
      <w:pPr>
        <w:pStyle w:val="8"/>
        <w:spacing w:beforeAutospacing="0" w:afterAutospacing="0"/>
        <w:jc w:val="center"/>
        <w:rPr>
          <w:highlight w:val="none"/>
        </w:rPr>
      </w:pPr>
      <w:r>
        <w:rPr>
          <w:highlight w:val="none"/>
        </w:rPr>
        <w:t> </w:t>
      </w:r>
    </w:p>
    <w:p w14:paraId="6C205399">
      <w:pPr>
        <w:pStyle w:val="8"/>
        <w:spacing w:beforeAutospacing="0" w:afterAutospacing="0"/>
        <w:jc w:val="center"/>
        <w:rPr>
          <w:highlight w:val="none"/>
        </w:rPr>
      </w:pPr>
      <w:r>
        <w:rPr>
          <w:highlight w:val="none"/>
        </w:rPr>
        <w:t> </w:t>
      </w:r>
    </w:p>
    <w:p w14:paraId="4AA038E0">
      <w:pPr>
        <w:pStyle w:val="8"/>
        <w:spacing w:beforeAutospacing="0" w:afterAutospacing="0"/>
        <w:jc w:val="center"/>
        <w:rPr>
          <w:highlight w:val="none"/>
        </w:rPr>
      </w:pPr>
      <w:r>
        <w:rPr>
          <w:highlight w:val="none"/>
        </w:rPr>
        <w:t> </w:t>
      </w:r>
    </w:p>
    <w:p w14:paraId="2959F3C4">
      <w:pPr>
        <w:pStyle w:val="8"/>
        <w:spacing w:beforeAutospacing="0" w:afterAutospacing="0"/>
        <w:jc w:val="both"/>
        <w:rPr>
          <w:highlight w:val="none"/>
        </w:rPr>
      </w:pPr>
      <w:r>
        <w:rPr>
          <w:highlight w:val="none"/>
        </w:rPr>
        <w:t> </w:t>
      </w:r>
    </w:p>
    <w:p w14:paraId="1B060B71">
      <w:pPr>
        <w:pStyle w:val="8"/>
        <w:spacing w:beforeAutospacing="0" w:afterAutospacing="0"/>
        <w:jc w:val="both"/>
        <w:rPr>
          <w:highlight w:val="none"/>
        </w:rPr>
      </w:pPr>
      <w:r>
        <w:rPr>
          <w:highlight w:val="none"/>
        </w:rPr>
        <w:t> </w:t>
      </w:r>
    </w:p>
    <w:p w14:paraId="3F046A88">
      <w:pPr>
        <w:pStyle w:val="8"/>
        <w:spacing w:beforeAutospacing="0" w:afterAutospacing="0"/>
        <w:jc w:val="both"/>
        <w:rPr>
          <w:highlight w:val="none"/>
        </w:rPr>
      </w:pPr>
      <w:r>
        <w:rPr>
          <w:highlight w:val="none"/>
        </w:rPr>
        <w:t> </w:t>
      </w:r>
    </w:p>
    <w:p w14:paraId="54721F13">
      <w:pPr>
        <w:pStyle w:val="8"/>
        <w:spacing w:beforeAutospacing="0" w:afterAutospacing="0"/>
        <w:jc w:val="both"/>
        <w:rPr>
          <w:highlight w:val="none"/>
        </w:rPr>
      </w:pPr>
      <w:r>
        <w:rPr>
          <w:highlight w:val="none"/>
        </w:rPr>
        <w:t> </w:t>
      </w:r>
    </w:p>
    <w:p w14:paraId="7F2D6E94">
      <w:pPr>
        <w:pStyle w:val="8"/>
        <w:spacing w:beforeAutospacing="0" w:afterAutospacing="0"/>
        <w:jc w:val="both"/>
        <w:rPr>
          <w:highlight w:val="none"/>
        </w:rPr>
      </w:pPr>
      <w:r>
        <w:rPr>
          <w:highlight w:val="none"/>
        </w:rPr>
        <w:t> </w:t>
      </w:r>
    </w:p>
    <w:p w14:paraId="79DFEAD6">
      <w:pPr>
        <w:pStyle w:val="8"/>
        <w:spacing w:beforeAutospacing="0" w:afterAutospacing="0"/>
        <w:jc w:val="both"/>
        <w:rPr>
          <w:highlight w:val="none"/>
        </w:rPr>
      </w:pPr>
    </w:p>
    <w:p w14:paraId="41802066">
      <w:pPr>
        <w:pStyle w:val="8"/>
        <w:spacing w:beforeAutospacing="0" w:afterAutospacing="0"/>
        <w:jc w:val="both"/>
        <w:rPr>
          <w:highlight w:val="none"/>
        </w:rPr>
      </w:pPr>
    </w:p>
    <w:p w14:paraId="15162D24">
      <w:pPr>
        <w:pStyle w:val="8"/>
        <w:spacing w:beforeAutospacing="0" w:afterAutospacing="0"/>
        <w:jc w:val="both"/>
        <w:rPr>
          <w:highlight w:val="none"/>
        </w:rPr>
      </w:pPr>
    </w:p>
    <w:p w14:paraId="573890F5">
      <w:pPr>
        <w:pStyle w:val="8"/>
        <w:spacing w:beforeAutospacing="0" w:afterAutospacing="0"/>
        <w:jc w:val="both"/>
        <w:rPr>
          <w:highlight w:val="none"/>
        </w:rPr>
      </w:pPr>
    </w:p>
    <w:p w14:paraId="17B0392B">
      <w:pPr>
        <w:pStyle w:val="8"/>
        <w:spacing w:beforeAutospacing="0" w:afterAutospacing="0"/>
        <w:jc w:val="both"/>
        <w:rPr>
          <w:highlight w:val="none"/>
        </w:rPr>
      </w:pPr>
    </w:p>
    <w:p w14:paraId="6D7A0174">
      <w:pPr>
        <w:pStyle w:val="8"/>
        <w:spacing w:beforeAutospacing="0" w:afterAutospacing="0"/>
        <w:jc w:val="both"/>
        <w:rPr>
          <w:highlight w:val="none"/>
        </w:rPr>
      </w:pPr>
    </w:p>
    <w:p w14:paraId="5622EEA8">
      <w:pPr>
        <w:pStyle w:val="8"/>
        <w:spacing w:beforeAutospacing="0" w:afterAutospacing="0"/>
        <w:jc w:val="both"/>
        <w:rPr>
          <w:highlight w:val="none"/>
        </w:rPr>
      </w:pPr>
    </w:p>
    <w:p w14:paraId="632E11EB">
      <w:pPr>
        <w:pStyle w:val="8"/>
        <w:spacing w:beforeAutospacing="0" w:afterAutospacing="0"/>
        <w:jc w:val="both"/>
        <w:rPr>
          <w:highlight w:val="none"/>
        </w:rPr>
      </w:pPr>
    </w:p>
    <w:p w14:paraId="7E0C087F">
      <w:pPr>
        <w:pStyle w:val="8"/>
        <w:spacing w:beforeAutospacing="0" w:afterAutospacing="0"/>
        <w:jc w:val="both"/>
        <w:rPr>
          <w:highlight w:val="none"/>
        </w:rPr>
      </w:pPr>
    </w:p>
    <w:p w14:paraId="3A8794A2">
      <w:pPr>
        <w:pStyle w:val="8"/>
        <w:spacing w:beforeAutospacing="0" w:afterAutospacing="0"/>
        <w:jc w:val="both"/>
        <w:rPr>
          <w:highlight w:val="none"/>
        </w:rPr>
      </w:pPr>
    </w:p>
    <w:p w14:paraId="5C48238E">
      <w:pPr>
        <w:pStyle w:val="8"/>
        <w:spacing w:beforeAutospacing="0" w:afterAutospacing="0"/>
        <w:jc w:val="both"/>
        <w:rPr>
          <w:highlight w:val="none"/>
        </w:rPr>
      </w:pPr>
      <w:r>
        <w:rPr>
          <w:highlight w:val="none"/>
        </w:rPr>
        <w:t> </w:t>
      </w:r>
    </w:p>
    <w:p w14:paraId="108AE904">
      <w:pPr>
        <w:pStyle w:val="8"/>
        <w:spacing w:beforeAutospacing="0" w:afterAutospacing="0"/>
        <w:jc w:val="both"/>
        <w:rPr>
          <w:highlight w:val="none"/>
        </w:rPr>
      </w:pPr>
      <w:r>
        <w:rPr>
          <w:highlight w:val="none"/>
        </w:rPr>
        <w:t> </w:t>
      </w:r>
    </w:p>
    <w:p w14:paraId="336D829F">
      <w:pPr>
        <w:pStyle w:val="8"/>
        <w:spacing w:beforeAutospacing="0" w:afterAutospacing="0"/>
        <w:jc w:val="both"/>
        <w:rPr>
          <w:highlight w:val="none"/>
        </w:rPr>
      </w:pPr>
      <w:r>
        <w:rPr>
          <w:highlight w:val="none"/>
        </w:rPr>
        <w:t> </w:t>
      </w:r>
    </w:p>
    <w:p w14:paraId="2B05566F">
      <w:pPr>
        <w:pStyle w:val="8"/>
        <w:spacing w:beforeAutospacing="0" w:afterAutospacing="0"/>
        <w:jc w:val="center"/>
        <w:rPr>
          <w:highlight w:val="none"/>
        </w:rPr>
      </w:pPr>
      <w:bookmarkStart w:id="215" w:name="_Hlt26955054"/>
      <w:r>
        <w:rPr>
          <w:rFonts w:hint="eastAsia" w:ascii="黑体" w:hAnsi="宋体" w:eastAsia="黑体" w:cs="黑体"/>
          <w:b/>
          <w:color w:val="000000"/>
          <w:sz w:val="32"/>
          <w:szCs w:val="32"/>
          <w:highlight w:val="none"/>
        </w:rPr>
        <w:t>十四、商务要求响应及偏离表（分包号：**）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C8C067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E7FE">
            <w:pPr>
              <w:pStyle w:val="8"/>
              <w:spacing w:beforeAutospacing="0" w:afterAutospacing="0"/>
              <w:jc w:val="center"/>
              <w:rPr>
                <w:highlight w:val="none"/>
              </w:rPr>
            </w:pPr>
            <w:bookmarkStart w:id="216" w:name="_Hlt26609391"/>
            <w:bookmarkStart w:id="217" w:name="_Hlt26955056"/>
            <w:bookmarkStart w:id="218" w:name="_Hlt26671343"/>
            <w:bookmarkStart w:id="219" w:name="_Hlt26580838"/>
            <w:bookmarkStart w:id="220" w:name="_Hlt26671372"/>
            <w:bookmarkStart w:id="221" w:name="_Hlt24879081"/>
            <w:bookmarkStart w:id="222" w:name="_Hlt26955064"/>
            <w:bookmarkStart w:id="223" w:name="_Hlt26782999"/>
            <w:r>
              <w:rPr>
                <w:rFonts w:hint="eastAsia" w:ascii="宋体" w:hAnsi="宋体" w:eastAsia="宋体" w:cs="宋体"/>
                <w:color w:val="000000"/>
                <w:highlight w:val="none"/>
              </w:rPr>
              <w:t>序号</w:t>
            </w:r>
          </w:p>
          <w:bookmarkEnd w:id="216"/>
          <w:bookmarkEnd w:id="217"/>
          <w:bookmarkEnd w:id="218"/>
          <w:bookmarkEnd w:id="219"/>
          <w:bookmarkEnd w:id="220"/>
          <w:bookmarkEnd w:id="221"/>
          <w:bookmarkEnd w:id="222"/>
          <w:bookmarkEnd w:id="223"/>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3AD9">
            <w:pPr>
              <w:pStyle w:val="8"/>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FD01">
            <w:pPr>
              <w:pStyle w:val="8"/>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85966">
            <w:pPr>
              <w:pStyle w:val="8"/>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3FEE">
            <w:pPr>
              <w:pStyle w:val="8"/>
              <w:spacing w:beforeAutospacing="0" w:afterAutospacing="0"/>
              <w:jc w:val="center"/>
              <w:rPr>
                <w:highlight w:val="none"/>
              </w:rPr>
            </w:pPr>
            <w:r>
              <w:rPr>
                <w:rFonts w:hint="eastAsia" w:ascii="宋体" w:hAnsi="宋体" w:eastAsia="宋体" w:cs="宋体"/>
                <w:color w:val="000000"/>
                <w:highlight w:val="none"/>
              </w:rPr>
              <w:t>证明</w:t>
            </w:r>
          </w:p>
          <w:p w14:paraId="2F6E5C46">
            <w:pPr>
              <w:pStyle w:val="8"/>
              <w:spacing w:beforeAutospacing="0" w:afterAutospacing="0"/>
              <w:jc w:val="center"/>
              <w:rPr>
                <w:highlight w:val="none"/>
              </w:rPr>
            </w:pPr>
            <w:r>
              <w:rPr>
                <w:rFonts w:hint="eastAsia" w:ascii="宋体" w:hAnsi="宋体" w:eastAsia="宋体" w:cs="宋体"/>
                <w:color w:val="000000"/>
                <w:highlight w:val="none"/>
              </w:rPr>
              <w:t>材料</w:t>
            </w:r>
          </w:p>
        </w:tc>
      </w:tr>
      <w:tr w14:paraId="0CC2F30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A8C5">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77C8">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74B48">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18274">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EF9D">
            <w:pPr>
              <w:pStyle w:val="8"/>
              <w:spacing w:beforeAutospacing="0" w:afterAutospacing="0"/>
              <w:jc w:val="center"/>
              <w:rPr>
                <w:highlight w:val="none"/>
              </w:rPr>
            </w:pPr>
            <w:r>
              <w:rPr>
                <w:highlight w:val="none"/>
              </w:rPr>
              <w:t> </w:t>
            </w:r>
          </w:p>
        </w:tc>
      </w:tr>
      <w:tr w14:paraId="7E139F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8F0C">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6311B">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9975D">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C89A">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F22D">
            <w:pPr>
              <w:pStyle w:val="8"/>
              <w:spacing w:beforeAutospacing="0" w:afterAutospacing="0"/>
              <w:jc w:val="center"/>
              <w:rPr>
                <w:highlight w:val="none"/>
              </w:rPr>
            </w:pPr>
            <w:r>
              <w:rPr>
                <w:highlight w:val="none"/>
              </w:rPr>
              <w:t> </w:t>
            </w:r>
          </w:p>
        </w:tc>
      </w:tr>
      <w:tr w14:paraId="28727F2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B9A3">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6E932">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CF104">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0AF86">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50C0C">
            <w:pPr>
              <w:pStyle w:val="8"/>
              <w:spacing w:beforeAutospacing="0" w:afterAutospacing="0"/>
              <w:jc w:val="center"/>
              <w:rPr>
                <w:highlight w:val="none"/>
              </w:rPr>
            </w:pPr>
            <w:r>
              <w:rPr>
                <w:highlight w:val="none"/>
              </w:rPr>
              <w:t> </w:t>
            </w:r>
          </w:p>
        </w:tc>
      </w:tr>
      <w:tr w14:paraId="314001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8432">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0D35">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3486">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3A41F">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7FB8">
            <w:pPr>
              <w:pStyle w:val="8"/>
              <w:spacing w:beforeAutospacing="0" w:afterAutospacing="0"/>
              <w:jc w:val="center"/>
              <w:rPr>
                <w:highlight w:val="none"/>
              </w:rPr>
            </w:pPr>
            <w:r>
              <w:rPr>
                <w:highlight w:val="none"/>
              </w:rPr>
              <w:t> </w:t>
            </w:r>
          </w:p>
        </w:tc>
      </w:tr>
      <w:tr w14:paraId="3665F2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05EF">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1678D">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79538">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2848C">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041D">
            <w:pPr>
              <w:pStyle w:val="8"/>
              <w:spacing w:beforeAutospacing="0" w:afterAutospacing="0"/>
              <w:jc w:val="center"/>
              <w:rPr>
                <w:highlight w:val="none"/>
              </w:rPr>
            </w:pPr>
            <w:r>
              <w:rPr>
                <w:highlight w:val="none"/>
              </w:rPr>
              <w:t> </w:t>
            </w:r>
          </w:p>
        </w:tc>
      </w:tr>
      <w:tr w14:paraId="41BE70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68AF">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DCD2">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52004">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23EA">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64153">
            <w:pPr>
              <w:pStyle w:val="8"/>
              <w:spacing w:beforeAutospacing="0" w:afterAutospacing="0"/>
              <w:jc w:val="center"/>
              <w:rPr>
                <w:highlight w:val="none"/>
              </w:rPr>
            </w:pPr>
            <w:r>
              <w:rPr>
                <w:highlight w:val="none"/>
              </w:rPr>
              <w:t> </w:t>
            </w:r>
          </w:p>
        </w:tc>
      </w:tr>
      <w:tr w14:paraId="0C985F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FC98">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5C64">
            <w:pPr>
              <w:pStyle w:val="8"/>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1AE6E">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156C">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B8FA">
            <w:pPr>
              <w:pStyle w:val="8"/>
              <w:spacing w:beforeAutospacing="0" w:afterAutospacing="0"/>
              <w:jc w:val="center"/>
              <w:rPr>
                <w:highlight w:val="none"/>
              </w:rPr>
            </w:pPr>
            <w:r>
              <w:rPr>
                <w:highlight w:val="none"/>
              </w:rPr>
              <w:t> </w:t>
            </w:r>
          </w:p>
        </w:tc>
      </w:tr>
      <w:tr w14:paraId="7EDA08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8E60A">
            <w:pPr>
              <w:pStyle w:val="8"/>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3D52">
            <w:pPr>
              <w:pStyle w:val="8"/>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A8CB">
            <w:pPr>
              <w:pStyle w:val="8"/>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C9CEB">
            <w:pPr>
              <w:pStyle w:val="8"/>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727">
            <w:pPr>
              <w:pStyle w:val="8"/>
              <w:spacing w:beforeAutospacing="0" w:afterAutospacing="0"/>
              <w:jc w:val="center"/>
              <w:rPr>
                <w:highlight w:val="none"/>
              </w:rPr>
            </w:pPr>
            <w:r>
              <w:rPr>
                <w:highlight w:val="none"/>
              </w:rPr>
              <w:t> </w:t>
            </w:r>
          </w:p>
        </w:tc>
      </w:tr>
    </w:tbl>
    <w:p w14:paraId="72F5297B">
      <w:pPr>
        <w:pStyle w:val="8"/>
        <w:spacing w:beforeAutospacing="0" w:afterAutospacing="0"/>
        <w:jc w:val="both"/>
        <w:rPr>
          <w:highlight w:val="none"/>
        </w:rPr>
      </w:pPr>
      <w:r>
        <w:rPr>
          <w:rFonts w:hint="eastAsia" w:ascii="宋体" w:hAnsi="宋体" w:eastAsia="宋体" w:cs="宋体"/>
          <w:color w:val="000000"/>
          <w:highlight w:val="none"/>
        </w:rPr>
        <w:t>注： 行数不够，可自行添加。</w:t>
      </w:r>
    </w:p>
    <w:p w14:paraId="7D76B506">
      <w:pPr>
        <w:pStyle w:val="8"/>
        <w:spacing w:beforeAutospacing="0" w:afterAutospacing="0" w:line="480" w:lineRule="auto"/>
        <w:jc w:val="both"/>
        <w:rPr>
          <w:highlight w:val="none"/>
        </w:rPr>
      </w:pPr>
      <w:r>
        <w:rPr>
          <w:highlight w:val="none"/>
        </w:rPr>
        <w:t> </w:t>
      </w:r>
    </w:p>
    <w:p w14:paraId="55CA87F7">
      <w:pPr>
        <w:pStyle w:val="8"/>
        <w:spacing w:beforeAutospacing="0" w:afterAutospacing="0" w:line="480" w:lineRule="auto"/>
        <w:jc w:val="both"/>
        <w:rPr>
          <w:highlight w:val="none"/>
        </w:rPr>
      </w:pPr>
      <w:r>
        <w:rPr>
          <w:highlight w:val="none"/>
        </w:rPr>
        <w:t> </w:t>
      </w:r>
    </w:p>
    <w:p w14:paraId="09BB21B8">
      <w:pPr>
        <w:pStyle w:val="8"/>
        <w:spacing w:beforeAutospacing="0" w:afterAutospacing="0"/>
        <w:jc w:val="center"/>
        <w:rPr>
          <w:highlight w:val="none"/>
        </w:rPr>
      </w:pPr>
      <w:bookmarkStart w:id="224" w:name="_Hlt26955066"/>
      <w:bookmarkStart w:id="225" w:name="_Hlt26609389"/>
      <w:bookmarkStart w:id="226" w:name="_格式2__法定代表人授权书"/>
      <w:bookmarkStart w:id="227" w:name="_Toc462564146"/>
      <w:bookmarkStart w:id="228" w:name="_Hlt26671374"/>
      <w:r>
        <w:rPr>
          <w:highlight w:val="none"/>
        </w:rPr>
        <w:t> </w:t>
      </w:r>
    </w:p>
    <w:p w14:paraId="44E1DEF6">
      <w:pPr>
        <w:pStyle w:val="8"/>
        <w:spacing w:beforeAutospacing="0" w:afterAutospacing="0"/>
        <w:jc w:val="center"/>
        <w:rPr>
          <w:highlight w:val="none"/>
        </w:rPr>
      </w:pPr>
      <w:r>
        <w:rPr>
          <w:highlight w:val="none"/>
        </w:rPr>
        <w:t> </w:t>
      </w:r>
    </w:p>
    <w:p w14:paraId="1169076F">
      <w:pPr>
        <w:pStyle w:val="8"/>
        <w:spacing w:beforeAutospacing="0" w:afterAutospacing="0"/>
        <w:jc w:val="center"/>
        <w:rPr>
          <w:highlight w:val="none"/>
        </w:rPr>
      </w:pPr>
      <w:r>
        <w:rPr>
          <w:highlight w:val="none"/>
        </w:rPr>
        <w:t> </w:t>
      </w:r>
    </w:p>
    <w:p w14:paraId="05F6A496">
      <w:pPr>
        <w:pStyle w:val="8"/>
        <w:spacing w:beforeAutospacing="0" w:afterAutospacing="0"/>
        <w:jc w:val="center"/>
        <w:rPr>
          <w:highlight w:val="none"/>
        </w:rPr>
      </w:pPr>
      <w:r>
        <w:rPr>
          <w:highlight w:val="none"/>
        </w:rPr>
        <w:t> </w:t>
      </w:r>
    </w:p>
    <w:p w14:paraId="0CA17605">
      <w:pPr>
        <w:pStyle w:val="8"/>
        <w:spacing w:beforeAutospacing="0" w:afterAutospacing="0"/>
        <w:jc w:val="center"/>
        <w:rPr>
          <w:highlight w:val="none"/>
        </w:rPr>
      </w:pPr>
      <w:r>
        <w:rPr>
          <w:highlight w:val="none"/>
        </w:rPr>
        <w:t> </w:t>
      </w:r>
    </w:p>
    <w:p w14:paraId="0F9F9845">
      <w:pPr>
        <w:pStyle w:val="8"/>
        <w:spacing w:beforeAutospacing="0" w:afterAutospacing="0"/>
        <w:jc w:val="center"/>
        <w:rPr>
          <w:highlight w:val="none"/>
        </w:rPr>
      </w:pPr>
      <w:r>
        <w:rPr>
          <w:highlight w:val="none"/>
        </w:rPr>
        <w:t> </w:t>
      </w:r>
    </w:p>
    <w:p w14:paraId="6AB78516">
      <w:pPr>
        <w:pStyle w:val="8"/>
        <w:spacing w:beforeAutospacing="0" w:afterAutospacing="0"/>
        <w:jc w:val="center"/>
        <w:rPr>
          <w:highlight w:val="none"/>
        </w:rPr>
      </w:pPr>
    </w:p>
    <w:p w14:paraId="1B596214">
      <w:pPr>
        <w:pStyle w:val="8"/>
        <w:spacing w:beforeAutospacing="0" w:afterAutospacing="0"/>
        <w:jc w:val="center"/>
        <w:rPr>
          <w:highlight w:val="none"/>
        </w:rPr>
      </w:pPr>
    </w:p>
    <w:p w14:paraId="27ED14E9">
      <w:pPr>
        <w:pStyle w:val="8"/>
        <w:spacing w:beforeAutospacing="0" w:afterAutospacing="0"/>
        <w:jc w:val="center"/>
        <w:rPr>
          <w:highlight w:val="none"/>
        </w:rPr>
      </w:pPr>
    </w:p>
    <w:p w14:paraId="71ECEF7A">
      <w:pPr>
        <w:pStyle w:val="8"/>
        <w:spacing w:beforeAutospacing="0" w:afterAutospacing="0"/>
        <w:jc w:val="center"/>
        <w:rPr>
          <w:highlight w:val="none"/>
        </w:rPr>
      </w:pPr>
    </w:p>
    <w:p w14:paraId="29458EB7">
      <w:pPr>
        <w:pStyle w:val="8"/>
        <w:spacing w:beforeAutospacing="0" w:afterAutospacing="0"/>
        <w:jc w:val="center"/>
        <w:rPr>
          <w:highlight w:val="none"/>
        </w:rPr>
      </w:pPr>
    </w:p>
    <w:p w14:paraId="30AAA3A2">
      <w:pPr>
        <w:pStyle w:val="8"/>
        <w:spacing w:beforeAutospacing="0" w:afterAutospacing="0"/>
        <w:jc w:val="center"/>
        <w:rPr>
          <w:highlight w:val="none"/>
        </w:rPr>
      </w:pPr>
    </w:p>
    <w:p w14:paraId="679B67E8">
      <w:pPr>
        <w:pStyle w:val="8"/>
        <w:spacing w:beforeAutospacing="0" w:afterAutospacing="0"/>
        <w:jc w:val="center"/>
        <w:rPr>
          <w:highlight w:val="none"/>
        </w:rPr>
      </w:pPr>
    </w:p>
    <w:p w14:paraId="2635429C">
      <w:pPr>
        <w:pStyle w:val="8"/>
        <w:spacing w:beforeAutospacing="0" w:afterAutospacing="0"/>
        <w:jc w:val="center"/>
        <w:rPr>
          <w:highlight w:val="none"/>
        </w:rPr>
      </w:pPr>
    </w:p>
    <w:p w14:paraId="5E2E9E0A">
      <w:pPr>
        <w:pStyle w:val="8"/>
        <w:spacing w:beforeAutospacing="0" w:afterAutospacing="0"/>
        <w:jc w:val="center"/>
        <w:rPr>
          <w:highlight w:val="none"/>
        </w:rPr>
      </w:pPr>
    </w:p>
    <w:p w14:paraId="4926D1B4">
      <w:pPr>
        <w:pStyle w:val="8"/>
        <w:spacing w:beforeAutospacing="0" w:afterAutospacing="0"/>
        <w:jc w:val="center"/>
        <w:rPr>
          <w:highlight w:val="none"/>
        </w:rPr>
      </w:pPr>
      <w:r>
        <w:rPr>
          <w:highlight w:val="none"/>
        </w:rPr>
        <w:t> </w:t>
      </w:r>
    </w:p>
    <w:p w14:paraId="4F0FC846">
      <w:pPr>
        <w:pStyle w:val="8"/>
        <w:spacing w:beforeAutospacing="0" w:afterAutospacing="0"/>
        <w:jc w:val="center"/>
        <w:rPr>
          <w:highlight w:val="none"/>
        </w:rPr>
      </w:pPr>
      <w:r>
        <w:rPr>
          <w:highlight w:val="none"/>
        </w:rPr>
        <w:t> </w:t>
      </w:r>
    </w:p>
    <w:p w14:paraId="1130F238">
      <w:pPr>
        <w:pStyle w:val="8"/>
        <w:spacing w:beforeAutospacing="0" w:afterAutospacing="0"/>
        <w:jc w:val="center"/>
        <w:rPr>
          <w:highlight w:val="none"/>
        </w:rPr>
      </w:pPr>
      <w:r>
        <w:rPr>
          <w:highlight w:val="none"/>
        </w:rPr>
        <w:t> </w:t>
      </w:r>
    </w:p>
    <w:p w14:paraId="212E38DE">
      <w:pPr>
        <w:pStyle w:val="8"/>
        <w:numPr>
          <w:ilvl w:val="0"/>
          <w:numId w:val="0"/>
        </w:numPr>
        <w:spacing w:beforeAutospacing="0" w:afterAutospacing="0"/>
        <w:jc w:val="center"/>
        <w:rPr>
          <w:rFonts w:hint="eastAsia" w:ascii="黑体" w:hAnsi="宋体" w:eastAsia="黑体" w:cs="黑体"/>
          <w:b/>
          <w:i/>
          <w:color w:val="000000"/>
          <w:sz w:val="32"/>
          <w:szCs w:val="32"/>
          <w:highlight w:val="none"/>
          <w:u w:val="single"/>
        </w:rPr>
      </w:pPr>
      <w:r>
        <w:rPr>
          <w:rFonts w:hint="eastAsia" w:ascii="黑体" w:hAnsi="宋体" w:eastAsia="黑体" w:cs="黑体"/>
          <w:b/>
          <w:i/>
          <w:color w:val="000000"/>
          <w:kern w:val="0"/>
          <w:sz w:val="32"/>
          <w:szCs w:val="32"/>
          <w:lang w:val="en-US" w:eastAsia="zh-CN" w:bidi="ar-SA"/>
        </w:rPr>
        <w:t>十五、</w:t>
      </w:r>
      <w:r>
        <w:rPr>
          <w:rFonts w:hint="eastAsia" w:ascii="黑体" w:hAnsi="宋体" w:eastAsia="黑体" w:cs="黑体"/>
          <w:b/>
          <w:i/>
          <w:color w:val="000000"/>
          <w:sz w:val="32"/>
          <w:szCs w:val="32"/>
          <w:highlight w:val="none"/>
          <w:u w:val="single"/>
        </w:rPr>
        <w:t>开标一览表</w:t>
      </w:r>
    </w:p>
    <w:p w14:paraId="58D06506">
      <w:pPr>
        <w:pStyle w:val="8"/>
        <w:numPr>
          <w:ilvl w:val="0"/>
          <w:numId w:val="0"/>
        </w:numPr>
        <w:spacing w:beforeAutospacing="0" w:afterAutospacing="0"/>
        <w:ind w:firstLine="420" w:firstLineChars="200"/>
        <w:jc w:val="left"/>
        <w:rPr>
          <w:highlight w:val="none"/>
          <w:shd w:val="clear" w:color="auto" w:fill="auto"/>
        </w:rPr>
      </w:pPr>
      <w:r>
        <w:rPr>
          <w:rFonts w:ascii="Times New Roman" w:hAnsi="Times New Roman"/>
          <w:color w:val="000000"/>
          <w:sz w:val="21"/>
          <w:szCs w:val="21"/>
          <w:highlight w:val="none"/>
          <w:shd w:val="clear" w:color="auto" w:fill="auto"/>
        </w:rPr>
        <w:t>（备注：经办人在有总报价有核心产品时选用。确定后该备注删除。）</w:t>
      </w:r>
    </w:p>
    <w:p w14:paraId="1A0651CC">
      <w:pPr>
        <w:pStyle w:val="8"/>
        <w:spacing w:beforeAutospacing="0" w:afterAutospacing="0"/>
        <w:ind w:firstLine="480"/>
        <w:jc w:val="both"/>
        <w:rPr>
          <w:highlight w:val="none"/>
          <w:shd w:val="clear" w:color="auto" w:fill="auto"/>
        </w:rPr>
      </w:pPr>
      <w:r>
        <w:rPr>
          <w:rFonts w:hint="eastAsia" w:ascii="宋体" w:hAnsi="宋体" w:eastAsia="宋体" w:cs="宋体"/>
          <w:color w:val="000000"/>
          <w:highlight w:val="none"/>
          <w:shd w:val="clear" w:color="auto" w:fill="auto"/>
        </w:rPr>
        <w:t>投标人全称（加盖CA电子签章）：</w:t>
      </w:r>
    </w:p>
    <w:p w14:paraId="4B9E90B1">
      <w:pPr>
        <w:pStyle w:val="8"/>
        <w:spacing w:beforeAutospacing="0" w:afterAutospacing="0"/>
        <w:ind w:firstLine="480"/>
        <w:jc w:val="both"/>
        <w:rPr>
          <w:highlight w:val="none"/>
        </w:rPr>
      </w:pPr>
      <w:r>
        <w:rPr>
          <w:rFonts w:hint="eastAsia" w:ascii="宋体" w:hAnsi="宋体" w:eastAsia="宋体" w:cs="宋体"/>
          <w:color w:val="000000"/>
          <w:highlight w:val="none"/>
        </w:rPr>
        <w:t>项目名称：</w:t>
      </w:r>
    </w:p>
    <w:p w14:paraId="065638EC">
      <w:pPr>
        <w:pStyle w:val="8"/>
        <w:spacing w:beforeAutospacing="0" w:afterAutospacing="0"/>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项目</w:t>
      </w:r>
      <w:r>
        <w:rPr>
          <w:rFonts w:hint="eastAsia" w:ascii="宋体" w:hAnsi="宋体" w:eastAsia="宋体" w:cs="宋体"/>
          <w:color w:val="000000"/>
          <w:highlight w:val="none"/>
        </w:rPr>
        <w:t>编号：</w:t>
      </w:r>
    </w:p>
    <w:p w14:paraId="4A5D15AD">
      <w:pPr>
        <w:pStyle w:val="8"/>
        <w:spacing w:beforeAutospacing="0" w:afterAutospacing="0"/>
        <w:ind w:firstLine="480"/>
        <w:jc w:val="both"/>
        <w:rPr>
          <w:highlight w:val="none"/>
        </w:rPr>
      </w:pPr>
      <w:r>
        <w:rPr>
          <w:rFonts w:hint="eastAsia" w:ascii="宋体" w:hAnsi="宋体" w:eastAsia="宋体" w:cs="宋体"/>
          <w:color w:val="000000"/>
          <w:highlight w:val="none"/>
        </w:rPr>
        <w:t>分包号：</w:t>
      </w:r>
    </w:p>
    <w:tbl>
      <w:tblPr>
        <w:tblStyle w:val="9"/>
        <w:tblW w:w="8413" w:type="dxa"/>
        <w:tblCellSpacing w:w="0" w:type="dxa"/>
        <w:tblInd w:w="118" w:type="dxa"/>
        <w:tblLayout w:type="fixed"/>
        <w:tblCellMar>
          <w:top w:w="0" w:type="dxa"/>
          <w:left w:w="108" w:type="dxa"/>
          <w:bottom w:w="0" w:type="dxa"/>
          <w:right w:w="108" w:type="dxa"/>
        </w:tblCellMar>
      </w:tblPr>
      <w:tblGrid>
        <w:gridCol w:w="2349"/>
        <w:gridCol w:w="6064"/>
      </w:tblGrid>
      <w:tr w14:paraId="47E36B59">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BD400">
            <w:pPr>
              <w:pStyle w:val="8"/>
              <w:spacing w:beforeAutospacing="0" w:afterAutospacing="0"/>
              <w:jc w:val="center"/>
              <w:rPr>
                <w:highlight w:val="none"/>
              </w:rPr>
            </w:pPr>
            <w:r>
              <w:rPr>
                <w:rFonts w:hint="eastAsia" w:ascii="宋体" w:hAnsi="宋体" w:eastAsia="宋体" w:cs="宋体"/>
                <w:color w:val="000000"/>
                <w:highlight w:val="none"/>
              </w:rPr>
              <w:t>投标总报价</w:t>
            </w:r>
          </w:p>
        </w:tc>
      </w:tr>
      <w:tr w14:paraId="3958C0D9">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936FA">
            <w:pPr>
              <w:pStyle w:val="8"/>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大写：</w:t>
            </w:r>
          </w:p>
        </w:tc>
      </w:tr>
      <w:tr w14:paraId="6F658AC5">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4C57C0">
            <w:pPr>
              <w:pStyle w:val="8"/>
              <w:spacing w:beforeAutospacing="0" w:afterAutospacing="0" w:line="0" w:lineRule="atLeast"/>
              <w:rPr>
                <w:highlight w:val="none"/>
              </w:rPr>
            </w:pPr>
            <w:r>
              <w:rPr>
                <w:rFonts w:hint="eastAsia" w:ascii="宋体" w:hAnsi="宋体" w:eastAsia="宋体" w:cs="宋体"/>
                <w:color w:val="000000"/>
                <w:highlight w:val="none"/>
              </w:rPr>
              <w:t>小写：                          （人民币：元）</w:t>
            </w:r>
          </w:p>
        </w:tc>
      </w:tr>
      <w:tr w14:paraId="26AB77B9">
        <w:tblPrEx>
          <w:tblCellMar>
            <w:top w:w="0" w:type="dxa"/>
            <w:left w:w="108" w:type="dxa"/>
            <w:bottom w:w="0" w:type="dxa"/>
            <w:right w:w="108" w:type="dxa"/>
          </w:tblCellMar>
        </w:tblPrEx>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119CC">
            <w:pPr>
              <w:pStyle w:val="8"/>
              <w:spacing w:beforeAutospacing="0" w:afterAutospacing="0" w:line="300" w:lineRule="auto"/>
              <w:jc w:val="center"/>
              <w:rPr>
                <w:highlight w:val="none"/>
              </w:rPr>
            </w:pPr>
            <w:r>
              <w:rPr>
                <w:rFonts w:hint="eastAsia" w:ascii="宋体" w:hAnsi="宋体" w:eastAsia="宋体" w:cs="宋体"/>
                <w:color w:val="000000"/>
                <w:highlight w:val="none"/>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B3C3">
            <w:pPr>
              <w:pStyle w:val="8"/>
              <w:spacing w:beforeAutospacing="0" w:afterAutospacing="0" w:line="0" w:lineRule="atLeast"/>
              <w:rPr>
                <w:highlight w:val="none"/>
              </w:rPr>
            </w:pPr>
            <w:r>
              <w:rPr>
                <w:highlight w:val="none"/>
              </w:rPr>
              <w:t> </w:t>
            </w:r>
          </w:p>
        </w:tc>
      </w:tr>
    </w:tbl>
    <w:p w14:paraId="4A10EA11">
      <w:pPr>
        <w:pStyle w:val="8"/>
        <w:spacing w:beforeAutospacing="0" w:afterAutospacing="0"/>
        <w:jc w:val="both"/>
        <w:rPr>
          <w:highlight w:val="none"/>
        </w:rPr>
      </w:pPr>
      <w:r>
        <w:rPr>
          <w:highlight w:val="none"/>
        </w:rPr>
        <w:t> </w:t>
      </w:r>
    </w:p>
    <w:p w14:paraId="0D1EE0A5">
      <w:pPr>
        <w:pStyle w:val="8"/>
        <w:spacing w:beforeAutospacing="0" w:afterAutospacing="0"/>
        <w:ind w:firstLine="480"/>
        <w:jc w:val="both"/>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日</w:t>
      </w:r>
    </w:p>
    <w:p w14:paraId="39051F3D">
      <w:pPr>
        <w:pStyle w:val="8"/>
        <w:spacing w:beforeAutospacing="0" w:afterAutospacing="0"/>
        <w:jc w:val="both"/>
        <w:rPr>
          <w:highlight w:val="none"/>
        </w:rPr>
      </w:pPr>
      <w:r>
        <w:rPr>
          <w:highlight w:val="none"/>
        </w:rPr>
        <w:t> </w:t>
      </w:r>
    </w:p>
    <w:p w14:paraId="72521461">
      <w:pPr>
        <w:pStyle w:val="8"/>
        <w:spacing w:beforeAutospacing="0" w:afterAutospacing="0" w:line="0" w:lineRule="atLeast"/>
        <w:jc w:val="both"/>
        <w:rPr>
          <w:highlight w:val="none"/>
          <w:shd w:val="clear" w:color="auto" w:fill="auto"/>
        </w:rPr>
      </w:pPr>
    </w:p>
    <w:p w14:paraId="43DD42B0">
      <w:pPr>
        <w:pStyle w:val="8"/>
        <w:spacing w:beforeAutospacing="0" w:afterAutospacing="0"/>
        <w:jc w:val="center"/>
        <w:rPr>
          <w:highlight w:val="none"/>
          <w:shd w:val="clear" w:color="auto" w:fill="auto"/>
        </w:rPr>
      </w:pPr>
      <w:r>
        <w:rPr>
          <w:highlight w:val="none"/>
          <w:shd w:val="clear" w:color="auto" w:fill="auto"/>
        </w:rPr>
        <w:t> </w:t>
      </w:r>
    </w:p>
    <w:p w14:paraId="62536BAB">
      <w:pPr>
        <w:pStyle w:val="8"/>
        <w:spacing w:beforeAutospacing="0" w:afterAutospacing="0"/>
        <w:jc w:val="both"/>
        <w:rPr>
          <w:highlight w:val="none"/>
          <w:shd w:val="clear" w:color="auto" w:fill="auto"/>
        </w:rPr>
      </w:pPr>
      <w:r>
        <w:rPr>
          <w:highlight w:val="none"/>
          <w:shd w:val="clear" w:color="auto" w:fill="auto"/>
        </w:rPr>
        <w:t> </w:t>
      </w:r>
    </w:p>
    <w:p w14:paraId="64063F9E">
      <w:pPr>
        <w:pStyle w:val="8"/>
        <w:spacing w:beforeAutospacing="0" w:afterAutospacing="0"/>
        <w:jc w:val="center"/>
        <w:rPr>
          <w:rFonts w:ascii="宋体" w:hAnsi="宋体" w:eastAsia="宋体" w:cs="宋体"/>
          <w:b/>
          <w:color w:val="000000"/>
          <w:sz w:val="32"/>
          <w:szCs w:val="32"/>
          <w:highlight w:val="none"/>
          <w:shd w:val="clear" w:color="auto" w:fill="auto"/>
        </w:rPr>
      </w:pPr>
    </w:p>
    <w:p w14:paraId="6FE4C630">
      <w:pPr>
        <w:pStyle w:val="8"/>
        <w:spacing w:beforeAutospacing="0" w:afterAutospacing="0"/>
        <w:rPr>
          <w:rFonts w:ascii="宋体" w:hAnsi="宋体" w:eastAsia="宋体" w:cs="宋体"/>
          <w:b/>
          <w:color w:val="000000"/>
          <w:sz w:val="32"/>
          <w:szCs w:val="32"/>
          <w:highlight w:val="none"/>
        </w:rPr>
      </w:pPr>
    </w:p>
    <w:p w14:paraId="356E49F5">
      <w:pPr>
        <w:pStyle w:val="8"/>
        <w:spacing w:beforeAutospacing="0" w:afterAutospacing="0"/>
        <w:rPr>
          <w:rFonts w:ascii="宋体" w:hAnsi="宋体" w:eastAsia="宋体" w:cs="宋体"/>
          <w:b/>
          <w:color w:val="000000"/>
          <w:sz w:val="32"/>
          <w:szCs w:val="32"/>
          <w:highlight w:val="none"/>
        </w:rPr>
      </w:pPr>
    </w:p>
    <w:p w14:paraId="1DA2BA60">
      <w:pPr>
        <w:widowControl/>
        <w:spacing w:before="50" w:after="50"/>
        <w:jc w:val="center"/>
        <w:rPr>
          <w:highlight w:val="none"/>
        </w:rPr>
      </w:pPr>
      <w:r>
        <w:rPr>
          <w:highlight w:val="none"/>
        </w:rPr>
        <w:tab/>
      </w:r>
    </w:p>
    <w:p w14:paraId="3068A7EC">
      <w:pPr>
        <w:rPr>
          <w:highlight w:val="none"/>
        </w:rPr>
      </w:pPr>
      <w:r>
        <w:rPr>
          <w:highlight w:val="none"/>
        </w:rPr>
        <w:br w:type="page"/>
      </w:r>
    </w:p>
    <w:p w14:paraId="2695CAC7">
      <w:pPr>
        <w:widowControl/>
        <w:spacing w:before="50" w:after="50"/>
        <w:jc w:val="center"/>
        <w:rPr>
          <w:rFonts w:ascii="宋体" w:hAnsi="宋体" w:eastAsia="宋体" w:cs="宋体"/>
          <w:sz w:val="24"/>
          <w:highlight w:val="none"/>
        </w:rPr>
      </w:pPr>
      <w:r>
        <w:rPr>
          <w:rFonts w:hint="eastAsia" w:ascii="宋体" w:hAnsi="宋体" w:eastAsia="宋体" w:cs="宋体"/>
          <w:color w:val="000000"/>
          <w:sz w:val="32"/>
          <w:szCs w:val="32"/>
          <w:highlight w:val="none"/>
        </w:rPr>
        <w:t>十六、技术方案、服务承诺、培训承诺等</w:t>
      </w:r>
    </w:p>
    <w:p w14:paraId="4895B667">
      <w:pPr>
        <w:pStyle w:val="8"/>
        <w:spacing w:beforeAutospacing="0" w:afterAutospacing="0"/>
        <w:jc w:val="center"/>
        <w:rPr>
          <w:rFonts w:ascii="宋体" w:hAnsi="宋体" w:eastAsia="宋体" w:cs="宋体"/>
          <w:b/>
          <w:color w:val="000000"/>
          <w:sz w:val="32"/>
          <w:szCs w:val="32"/>
          <w:highlight w:val="none"/>
        </w:rPr>
      </w:pPr>
    </w:p>
    <w:p w14:paraId="618C9717">
      <w:pPr>
        <w:pStyle w:val="8"/>
        <w:spacing w:beforeAutospacing="0" w:afterAutospacing="0"/>
        <w:jc w:val="center"/>
        <w:rPr>
          <w:rFonts w:ascii="宋体" w:hAnsi="宋体" w:eastAsia="宋体" w:cs="宋体"/>
          <w:b/>
          <w:color w:val="000000"/>
          <w:sz w:val="32"/>
          <w:szCs w:val="32"/>
          <w:highlight w:val="none"/>
        </w:rPr>
      </w:pPr>
    </w:p>
    <w:p w14:paraId="119768F2">
      <w:pPr>
        <w:pStyle w:val="8"/>
        <w:spacing w:beforeAutospacing="0" w:afterAutospacing="0"/>
        <w:jc w:val="center"/>
        <w:rPr>
          <w:rFonts w:ascii="宋体" w:hAnsi="宋体" w:eastAsia="宋体" w:cs="宋体"/>
          <w:b/>
          <w:color w:val="000000"/>
          <w:sz w:val="32"/>
          <w:szCs w:val="32"/>
          <w:highlight w:val="none"/>
        </w:rPr>
      </w:pPr>
    </w:p>
    <w:p w14:paraId="7F5550FA">
      <w:pPr>
        <w:pStyle w:val="8"/>
        <w:spacing w:beforeAutospacing="0" w:afterAutospacing="0"/>
        <w:jc w:val="center"/>
        <w:rPr>
          <w:rFonts w:ascii="宋体" w:hAnsi="宋体" w:eastAsia="宋体" w:cs="宋体"/>
          <w:b/>
          <w:color w:val="000000"/>
          <w:sz w:val="32"/>
          <w:szCs w:val="32"/>
          <w:highlight w:val="none"/>
        </w:rPr>
      </w:pPr>
    </w:p>
    <w:p w14:paraId="10B330FB">
      <w:pPr>
        <w:pStyle w:val="8"/>
        <w:spacing w:beforeAutospacing="0" w:afterAutospacing="0"/>
        <w:jc w:val="center"/>
        <w:rPr>
          <w:rFonts w:ascii="宋体" w:hAnsi="宋体" w:eastAsia="宋体" w:cs="宋体"/>
          <w:b/>
          <w:color w:val="000000"/>
          <w:sz w:val="32"/>
          <w:szCs w:val="32"/>
          <w:highlight w:val="none"/>
        </w:rPr>
      </w:pPr>
    </w:p>
    <w:p w14:paraId="47957878">
      <w:pPr>
        <w:pStyle w:val="8"/>
        <w:spacing w:beforeAutospacing="0" w:afterAutospacing="0"/>
        <w:jc w:val="center"/>
        <w:rPr>
          <w:rFonts w:ascii="宋体" w:hAnsi="宋体" w:eastAsia="宋体" w:cs="宋体"/>
          <w:b/>
          <w:color w:val="000000"/>
          <w:sz w:val="32"/>
          <w:szCs w:val="32"/>
          <w:highlight w:val="none"/>
        </w:rPr>
      </w:pPr>
    </w:p>
    <w:p w14:paraId="322F0757">
      <w:pPr>
        <w:pStyle w:val="8"/>
        <w:spacing w:beforeAutospacing="0" w:afterAutospacing="0"/>
        <w:jc w:val="center"/>
        <w:rPr>
          <w:rFonts w:ascii="宋体" w:hAnsi="宋体" w:eastAsia="宋体" w:cs="宋体"/>
          <w:b/>
          <w:color w:val="000000"/>
          <w:sz w:val="32"/>
          <w:szCs w:val="32"/>
          <w:highlight w:val="none"/>
        </w:rPr>
      </w:pPr>
    </w:p>
    <w:p w14:paraId="6842E2B6">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r>
    </w:p>
    <w:p w14:paraId="3D900FAD">
      <w:pPr>
        <w:widowControl/>
        <w:spacing w:line="499" w:lineRule="atLeast"/>
        <w:ind w:firstLine="1600"/>
        <w:rPr>
          <w:rFonts w:ascii="宋体" w:hAnsi="宋体" w:eastAsia="宋体" w:cs="宋体"/>
          <w:sz w:val="24"/>
          <w:highlight w:val="none"/>
        </w:rPr>
      </w:pPr>
      <w:r>
        <w:rPr>
          <w:rFonts w:hint="eastAsia" w:ascii="宋体" w:hAnsi="宋体" w:eastAsia="宋体" w:cs="宋体"/>
          <w:color w:val="000000"/>
          <w:sz w:val="32"/>
          <w:szCs w:val="32"/>
          <w:highlight w:val="none"/>
        </w:rPr>
        <w:t>十七、盐城市政府采购事前信用承诺书</w:t>
      </w:r>
    </w:p>
    <w:p w14:paraId="2856B726">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7919085D">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3EDFDB9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3CD0212B">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1ADEB3A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23FBCF6B">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3A11BDB8">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71B61F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098A1A6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5394C7B5">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36D0A244">
      <w:pPr>
        <w:pStyle w:val="8"/>
        <w:spacing w:beforeAutospacing="0" w:afterAutospacing="0"/>
        <w:jc w:val="center"/>
        <w:rPr>
          <w:highlight w:val="none"/>
        </w:rPr>
      </w:pPr>
    </w:p>
    <w:bookmarkEnd w:id="6"/>
    <w:bookmarkEnd w:id="37"/>
    <w:bookmarkEnd w:id="38"/>
    <w:bookmarkEnd w:id="39"/>
    <w:bookmarkEnd w:id="40"/>
    <w:bookmarkEnd w:id="41"/>
    <w:bookmarkEnd w:id="42"/>
    <w:bookmarkEnd w:id="43"/>
    <w:bookmarkEnd w:id="44"/>
    <w:bookmarkEnd w:id="45"/>
    <w:bookmarkEnd w:id="46"/>
    <w:bookmarkEnd w:id="47"/>
    <w:bookmarkEnd w:id="48"/>
    <w:bookmarkEnd w:id="188"/>
    <w:bookmarkEnd w:id="203"/>
    <w:bookmarkEnd w:id="206"/>
    <w:bookmarkEnd w:id="207"/>
    <w:bookmarkEnd w:id="208"/>
    <w:bookmarkEnd w:id="209"/>
    <w:bookmarkEnd w:id="211"/>
    <w:bookmarkEnd w:id="212"/>
    <w:bookmarkEnd w:id="213"/>
    <w:bookmarkEnd w:id="215"/>
    <w:bookmarkEnd w:id="224"/>
    <w:bookmarkEnd w:id="225"/>
    <w:bookmarkEnd w:id="226"/>
    <w:bookmarkEnd w:id="227"/>
    <w:bookmarkEnd w:id="228"/>
    <w:p w14:paraId="1BD58B05">
      <w:pPr>
        <w:pStyle w:val="8"/>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4408F78F">
      <w:pPr>
        <w:pStyle w:val="8"/>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6C307A75">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40CDA18D">
      <w:pPr>
        <w:pStyle w:val="8"/>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6204001A">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CB49ACA">
      <w:pPr>
        <w:pStyle w:val="8"/>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DB03877">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499727A8">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B88EEAA">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6720E08">
      <w:pPr>
        <w:pStyle w:val="8"/>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7C51F6AF">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6578280A">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5CA0EF62">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5DF92306">
      <w:pPr>
        <w:pStyle w:val="8"/>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208912AC">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416D5F4">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60F609DC">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61145962">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0CD04C7">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2D3C5A9C">
      <w:pPr>
        <w:pStyle w:val="8"/>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F07B8F1">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0140CBED">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17B714BF">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1A43196A">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166EEFF8">
      <w:pPr>
        <w:pStyle w:val="8"/>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191183A">
      <w:pPr>
        <w:pStyle w:val="8"/>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486AA1DE">
      <w:pPr>
        <w:pStyle w:val="8"/>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ED08AD">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62091F4D">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88E4F51">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0F2A8B16">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335F536F">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0F6A2591">
      <w:pPr>
        <w:pStyle w:val="8"/>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4A90D10F">
      <w:pPr>
        <w:pStyle w:val="8"/>
        <w:spacing w:beforeAutospacing="0" w:afterAutospacing="0"/>
        <w:rPr>
          <w:highlight w:val="none"/>
        </w:rPr>
      </w:pPr>
    </w:p>
    <w:sectPr>
      <w:pgSz w:w="11906" w:h="16838"/>
      <w:pgMar w:top="1440" w:right="1800" w:bottom="1440" w:left="1800" w:header="794" w:footer="794"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F8C3DAD-2F63-400E-BFC4-4043E3D3A22E}"/>
  </w:font>
  <w:font w:name="Arial">
    <w:panose1 w:val="020B0604020202020204"/>
    <w:charset w:val="01"/>
    <w:family w:val="swiss"/>
    <w:pitch w:val="default"/>
    <w:sig w:usb0="E0002EFF" w:usb1="C000785B" w:usb2="00000009" w:usb3="00000000" w:csb0="400001FF" w:csb1="FFFF0000"/>
    <w:embedRegular r:id="rId2" w:fontKey="{413AD528-3F51-48C5-81B8-3D55EB147071}"/>
  </w:font>
  <w:font w:name="黑体">
    <w:panose1 w:val="02010609060101010101"/>
    <w:charset w:val="86"/>
    <w:family w:val="auto"/>
    <w:pitch w:val="default"/>
    <w:sig w:usb0="800002BF" w:usb1="38CF7CFA" w:usb2="00000016" w:usb3="00000000" w:csb0="00040001" w:csb1="00000000"/>
    <w:embedRegular r:id="rId3" w:fontKey="{6541D087-AEF2-47B4-B565-22082C73C12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2EB4FE98-26E7-40E8-A3AB-FBF7F094AAC2}"/>
  </w:font>
  <w:font w:name="华文楷体">
    <w:panose1 w:val="02010600040101010101"/>
    <w:charset w:val="86"/>
    <w:family w:val="auto"/>
    <w:pitch w:val="default"/>
    <w:sig w:usb0="00000287" w:usb1="080F0000" w:usb2="00000000" w:usb3="00000000" w:csb0="0004009F" w:csb1="DFD70000"/>
    <w:embedRegular r:id="rId5" w:fontKey="{E80095CF-5284-4018-92E8-16C697C23EDF}"/>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embedRegular r:id="rId6" w:fontKey="{42E57AF5-E7A8-4443-8E99-EBFF180B6D4C}"/>
  </w:font>
  <w:font w:name="仿宋_GB2312">
    <w:panose1 w:val="02010609030101010101"/>
    <w:charset w:val="86"/>
    <w:family w:val="modern"/>
    <w:pitch w:val="default"/>
    <w:sig w:usb0="00000001" w:usb1="080E0000" w:usb2="00000000" w:usb3="00000000" w:csb0="00040000" w:csb1="00000000"/>
    <w:embedRegular r:id="rId7" w:fontKey="{C8DDFA65-0714-4ADB-8617-A1FD752892D4}"/>
  </w:font>
  <w:font w:name="仿宋">
    <w:panose1 w:val="02010609060101010101"/>
    <w:charset w:val="86"/>
    <w:family w:val="auto"/>
    <w:pitch w:val="default"/>
    <w:sig w:usb0="800002BF" w:usb1="38CF7CFA" w:usb2="00000016" w:usb3="00000000" w:csb0="00040001" w:csb1="00000000"/>
    <w:embedRegular r:id="rId8" w:fontKey="{7E1B5FA7-CC9A-40F6-999D-8F7CC0381B5F}"/>
  </w:font>
  <w:font w:name="华文中宋">
    <w:panose1 w:val="02010600040101010101"/>
    <w:charset w:val="86"/>
    <w:family w:val="auto"/>
    <w:pitch w:val="default"/>
    <w:sig w:usb0="00000287" w:usb1="080F0000" w:usb2="00000000" w:usb3="00000000" w:csb0="0004009F" w:csb1="DFD70000"/>
    <w:embedRegular r:id="rId9" w:fontKey="{848AFDC1-4520-4F7C-A825-A3E87BCAA28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C9D63">
    <w:pPr>
      <w:pStyle w:val="18"/>
      <w:jc w:val="center"/>
    </w:pPr>
  </w:p>
  <w:p w14:paraId="0D885D2C">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BEFF2">
    <w:pPr>
      <w:pStyle w:val="1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416CE">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10416CE">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w:t>
                    </w:r>
                  </w:p>
                </w:txbxContent>
              </v:textbox>
            </v:shape>
          </w:pict>
        </mc:Fallback>
      </mc:AlternateContent>
    </w:r>
  </w:p>
  <w:p w14:paraId="626A6115">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5E61A">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pPr>
        <w:ind w:left="0" w:firstLine="0"/>
      </w:pPr>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5B14649"/>
    <w:multiLevelType w:val="singleLevel"/>
    <w:tmpl w:val="D5B14649"/>
    <w:lvl w:ilvl="0" w:tentative="0">
      <w:start w:val="4"/>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pPr>
        <w:ind w:left="0" w:firstLine="0"/>
      </w:pPr>
    </w:lvl>
  </w:abstractNum>
  <w:abstractNum w:abstractNumId="4">
    <w:nsid w:val="DE759F4B"/>
    <w:multiLevelType w:val="singleLevel"/>
    <w:tmpl w:val="DE759F4B"/>
    <w:lvl w:ilvl="0" w:tentative="0">
      <w:start w:val="2"/>
      <w:numFmt w:val="decimal"/>
      <w:suff w:val="space"/>
      <w:lvlText w:val="%1."/>
      <w:lvlJc w:val="left"/>
      <w:pPr>
        <w:ind w:left="0" w:firstLine="0"/>
      </w:pPr>
    </w:lvl>
  </w:abstractNum>
  <w:abstractNum w:abstractNumId="5">
    <w:nsid w:val="DEABE1DB"/>
    <w:multiLevelType w:val="singleLevel"/>
    <w:tmpl w:val="DEABE1DB"/>
    <w:lvl w:ilvl="0" w:tentative="0">
      <w:start w:val="23"/>
      <w:numFmt w:val="decimal"/>
      <w:suff w:val="space"/>
      <w:lvlText w:val="%1."/>
      <w:lvlJc w:val="left"/>
      <w:pPr>
        <w:ind w:left="0" w:firstLine="0"/>
      </w:pPr>
    </w:lvl>
  </w:abstractNum>
  <w:abstractNum w:abstractNumId="6">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3357AFD2"/>
    <w:multiLevelType w:val="singleLevel"/>
    <w:tmpl w:val="3357AFD2"/>
    <w:lvl w:ilvl="0" w:tentative="0">
      <w:start w:val="1"/>
      <w:numFmt w:val="decimal"/>
      <w:suff w:val="nothing"/>
      <w:lvlText w:val="%1、"/>
      <w:lvlJc w:val="left"/>
    </w:lvl>
  </w:abstractNum>
  <w:abstractNum w:abstractNumId="8">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8"/>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27397"/>
    <w:rsid w:val="0008414E"/>
    <w:rsid w:val="000B6FA8"/>
    <w:rsid w:val="000D6064"/>
    <w:rsid w:val="00106EC4"/>
    <w:rsid w:val="00111440"/>
    <w:rsid w:val="00112B63"/>
    <w:rsid w:val="00152010"/>
    <w:rsid w:val="00172A27"/>
    <w:rsid w:val="002410F1"/>
    <w:rsid w:val="00296707"/>
    <w:rsid w:val="002B0C85"/>
    <w:rsid w:val="003C54BE"/>
    <w:rsid w:val="004125B1"/>
    <w:rsid w:val="00427F98"/>
    <w:rsid w:val="004529E6"/>
    <w:rsid w:val="004B55CC"/>
    <w:rsid w:val="004E0F29"/>
    <w:rsid w:val="005257A0"/>
    <w:rsid w:val="00755D43"/>
    <w:rsid w:val="007E3A7B"/>
    <w:rsid w:val="00822248"/>
    <w:rsid w:val="00927A3A"/>
    <w:rsid w:val="009620FE"/>
    <w:rsid w:val="00973C6A"/>
    <w:rsid w:val="009D4169"/>
    <w:rsid w:val="009E04AF"/>
    <w:rsid w:val="00A75D0F"/>
    <w:rsid w:val="00BD1A9C"/>
    <w:rsid w:val="00BF706B"/>
    <w:rsid w:val="00C90FDD"/>
    <w:rsid w:val="00CE1146"/>
    <w:rsid w:val="00CF47B8"/>
    <w:rsid w:val="00D00F3E"/>
    <w:rsid w:val="00D20B29"/>
    <w:rsid w:val="00D3382A"/>
    <w:rsid w:val="00D550E3"/>
    <w:rsid w:val="00D724D7"/>
    <w:rsid w:val="00E04EC0"/>
    <w:rsid w:val="00ED0DA8"/>
    <w:rsid w:val="00F04D35"/>
    <w:rsid w:val="00F05E1E"/>
    <w:rsid w:val="00F65A6E"/>
    <w:rsid w:val="00FA4B2E"/>
    <w:rsid w:val="00FE0994"/>
    <w:rsid w:val="00FF1D20"/>
    <w:rsid w:val="014036E0"/>
    <w:rsid w:val="015C3D17"/>
    <w:rsid w:val="018C519F"/>
    <w:rsid w:val="01AE0C97"/>
    <w:rsid w:val="01C43C76"/>
    <w:rsid w:val="01DE1773"/>
    <w:rsid w:val="020B07BA"/>
    <w:rsid w:val="021B6523"/>
    <w:rsid w:val="02785724"/>
    <w:rsid w:val="02851591"/>
    <w:rsid w:val="02867E41"/>
    <w:rsid w:val="02897BFD"/>
    <w:rsid w:val="028B748A"/>
    <w:rsid w:val="02A209F3"/>
    <w:rsid w:val="02BD5381"/>
    <w:rsid w:val="02D505AD"/>
    <w:rsid w:val="02F0175E"/>
    <w:rsid w:val="02FE031F"/>
    <w:rsid w:val="03030A0D"/>
    <w:rsid w:val="03084CFA"/>
    <w:rsid w:val="034115E7"/>
    <w:rsid w:val="034E4AD1"/>
    <w:rsid w:val="037E0789"/>
    <w:rsid w:val="03912F41"/>
    <w:rsid w:val="03A367D0"/>
    <w:rsid w:val="03EE4DC1"/>
    <w:rsid w:val="04402271"/>
    <w:rsid w:val="04494535"/>
    <w:rsid w:val="046A5C3C"/>
    <w:rsid w:val="04926F71"/>
    <w:rsid w:val="04CF1FA6"/>
    <w:rsid w:val="04E04478"/>
    <w:rsid w:val="05307720"/>
    <w:rsid w:val="056E5657"/>
    <w:rsid w:val="05786A20"/>
    <w:rsid w:val="058663AA"/>
    <w:rsid w:val="05B93485"/>
    <w:rsid w:val="05C3315A"/>
    <w:rsid w:val="05E03D0C"/>
    <w:rsid w:val="05EA4B8A"/>
    <w:rsid w:val="062C42CE"/>
    <w:rsid w:val="063D643E"/>
    <w:rsid w:val="068A6E34"/>
    <w:rsid w:val="06915006"/>
    <w:rsid w:val="06E93094"/>
    <w:rsid w:val="07007061"/>
    <w:rsid w:val="07462294"/>
    <w:rsid w:val="07994E3B"/>
    <w:rsid w:val="07A02A3F"/>
    <w:rsid w:val="07A40F48"/>
    <w:rsid w:val="07B216D8"/>
    <w:rsid w:val="07C95D82"/>
    <w:rsid w:val="07E55609"/>
    <w:rsid w:val="07F92E63"/>
    <w:rsid w:val="07FB307F"/>
    <w:rsid w:val="083420ED"/>
    <w:rsid w:val="084D2058"/>
    <w:rsid w:val="085207C5"/>
    <w:rsid w:val="0854758E"/>
    <w:rsid w:val="08992D34"/>
    <w:rsid w:val="08997EFF"/>
    <w:rsid w:val="089E3E17"/>
    <w:rsid w:val="08CA47FF"/>
    <w:rsid w:val="08E14650"/>
    <w:rsid w:val="09132265"/>
    <w:rsid w:val="093D1475"/>
    <w:rsid w:val="095D46A1"/>
    <w:rsid w:val="096133B5"/>
    <w:rsid w:val="099472E7"/>
    <w:rsid w:val="099866AB"/>
    <w:rsid w:val="0A165F4E"/>
    <w:rsid w:val="0A2B635A"/>
    <w:rsid w:val="0A7315F2"/>
    <w:rsid w:val="0A9F075B"/>
    <w:rsid w:val="0ABC363A"/>
    <w:rsid w:val="0AD42B54"/>
    <w:rsid w:val="0AD8294B"/>
    <w:rsid w:val="0B00275A"/>
    <w:rsid w:val="0B2226D0"/>
    <w:rsid w:val="0B4B3B00"/>
    <w:rsid w:val="0B4F72C6"/>
    <w:rsid w:val="0B550CF8"/>
    <w:rsid w:val="0B6F67E7"/>
    <w:rsid w:val="0B8A23C1"/>
    <w:rsid w:val="0BAE3813"/>
    <w:rsid w:val="0C5D60B6"/>
    <w:rsid w:val="0C6805B7"/>
    <w:rsid w:val="0C6F7B97"/>
    <w:rsid w:val="0D4D2FC1"/>
    <w:rsid w:val="0D5079C9"/>
    <w:rsid w:val="0D821B4C"/>
    <w:rsid w:val="0DCE6B40"/>
    <w:rsid w:val="0DDE2279"/>
    <w:rsid w:val="0DDF1EF8"/>
    <w:rsid w:val="0DF06AB6"/>
    <w:rsid w:val="0E0362D5"/>
    <w:rsid w:val="0E0D7668"/>
    <w:rsid w:val="0E665CF8"/>
    <w:rsid w:val="0E6B3830"/>
    <w:rsid w:val="0E813BB2"/>
    <w:rsid w:val="0E924011"/>
    <w:rsid w:val="0E960BC4"/>
    <w:rsid w:val="0E966A8C"/>
    <w:rsid w:val="0E9C09EC"/>
    <w:rsid w:val="0E9E6512"/>
    <w:rsid w:val="0ED77DB0"/>
    <w:rsid w:val="0EDF7256"/>
    <w:rsid w:val="0EE61CD2"/>
    <w:rsid w:val="0F6D24BC"/>
    <w:rsid w:val="0F7D537E"/>
    <w:rsid w:val="0F7F00F1"/>
    <w:rsid w:val="0F826515"/>
    <w:rsid w:val="0FD146C5"/>
    <w:rsid w:val="10007707"/>
    <w:rsid w:val="100233D8"/>
    <w:rsid w:val="102E38C6"/>
    <w:rsid w:val="106D2640"/>
    <w:rsid w:val="10831E63"/>
    <w:rsid w:val="109A0F5B"/>
    <w:rsid w:val="10B77D5F"/>
    <w:rsid w:val="11001706"/>
    <w:rsid w:val="111E4FAD"/>
    <w:rsid w:val="112D6D48"/>
    <w:rsid w:val="11567578"/>
    <w:rsid w:val="116577BB"/>
    <w:rsid w:val="11AB711C"/>
    <w:rsid w:val="11E249A1"/>
    <w:rsid w:val="12431559"/>
    <w:rsid w:val="129E2F84"/>
    <w:rsid w:val="12EA61CA"/>
    <w:rsid w:val="12EF1B96"/>
    <w:rsid w:val="12F015A0"/>
    <w:rsid w:val="132A2A6A"/>
    <w:rsid w:val="133E2072"/>
    <w:rsid w:val="13685340"/>
    <w:rsid w:val="137D2B9A"/>
    <w:rsid w:val="139B5716"/>
    <w:rsid w:val="13BD743A"/>
    <w:rsid w:val="13BF0ACC"/>
    <w:rsid w:val="140875FD"/>
    <w:rsid w:val="143F60A1"/>
    <w:rsid w:val="14477BA7"/>
    <w:rsid w:val="1448258E"/>
    <w:rsid w:val="14527DD3"/>
    <w:rsid w:val="145E0C1D"/>
    <w:rsid w:val="14C678B5"/>
    <w:rsid w:val="14EB154F"/>
    <w:rsid w:val="15007F26"/>
    <w:rsid w:val="15192D96"/>
    <w:rsid w:val="15806971"/>
    <w:rsid w:val="15BF3E2F"/>
    <w:rsid w:val="15C076B6"/>
    <w:rsid w:val="15E756FB"/>
    <w:rsid w:val="162437A1"/>
    <w:rsid w:val="16404EBC"/>
    <w:rsid w:val="166B6141"/>
    <w:rsid w:val="169263C8"/>
    <w:rsid w:val="16A61788"/>
    <w:rsid w:val="16BA3E2C"/>
    <w:rsid w:val="16C01FA5"/>
    <w:rsid w:val="16F413C5"/>
    <w:rsid w:val="170147EB"/>
    <w:rsid w:val="174A7237"/>
    <w:rsid w:val="17666D47"/>
    <w:rsid w:val="17740758"/>
    <w:rsid w:val="17793FC0"/>
    <w:rsid w:val="1792502D"/>
    <w:rsid w:val="18637E1D"/>
    <w:rsid w:val="189F4D33"/>
    <w:rsid w:val="18BC4109"/>
    <w:rsid w:val="18E5190D"/>
    <w:rsid w:val="192F5D4A"/>
    <w:rsid w:val="193260E4"/>
    <w:rsid w:val="193261D5"/>
    <w:rsid w:val="194523AC"/>
    <w:rsid w:val="197E141A"/>
    <w:rsid w:val="19835197"/>
    <w:rsid w:val="1A0E6C42"/>
    <w:rsid w:val="1A295829"/>
    <w:rsid w:val="1A4F2C83"/>
    <w:rsid w:val="1A742B0A"/>
    <w:rsid w:val="1A9133CF"/>
    <w:rsid w:val="1AC564D8"/>
    <w:rsid w:val="1AC63078"/>
    <w:rsid w:val="1AD2708F"/>
    <w:rsid w:val="1AD51A47"/>
    <w:rsid w:val="1B2F50C2"/>
    <w:rsid w:val="1B4C386F"/>
    <w:rsid w:val="1B5F5046"/>
    <w:rsid w:val="1B8371BB"/>
    <w:rsid w:val="1B8B7B95"/>
    <w:rsid w:val="1B9509DF"/>
    <w:rsid w:val="1BA002D8"/>
    <w:rsid w:val="1BAD5FE6"/>
    <w:rsid w:val="1BCA3215"/>
    <w:rsid w:val="1BCC6609"/>
    <w:rsid w:val="1C0025BA"/>
    <w:rsid w:val="1C0A11A4"/>
    <w:rsid w:val="1C4A7CD9"/>
    <w:rsid w:val="1C50483A"/>
    <w:rsid w:val="1CAA0778"/>
    <w:rsid w:val="1CAC4347"/>
    <w:rsid w:val="1CF55E97"/>
    <w:rsid w:val="1D1C1092"/>
    <w:rsid w:val="1D2212D7"/>
    <w:rsid w:val="1D5F5A06"/>
    <w:rsid w:val="1D605A5A"/>
    <w:rsid w:val="1D854966"/>
    <w:rsid w:val="1DFD1285"/>
    <w:rsid w:val="1E3824DF"/>
    <w:rsid w:val="1E42335E"/>
    <w:rsid w:val="1EA043BC"/>
    <w:rsid w:val="1EB1403F"/>
    <w:rsid w:val="1EC176CB"/>
    <w:rsid w:val="1EC70509"/>
    <w:rsid w:val="1EF02DBA"/>
    <w:rsid w:val="1EFB350D"/>
    <w:rsid w:val="1F4A0271"/>
    <w:rsid w:val="1F5350F7"/>
    <w:rsid w:val="1F9D6372"/>
    <w:rsid w:val="1FA80CFB"/>
    <w:rsid w:val="1FC7762D"/>
    <w:rsid w:val="205730E8"/>
    <w:rsid w:val="20733730"/>
    <w:rsid w:val="20A83FAF"/>
    <w:rsid w:val="20BC13B2"/>
    <w:rsid w:val="20E73D48"/>
    <w:rsid w:val="212D5EEC"/>
    <w:rsid w:val="215025DE"/>
    <w:rsid w:val="21920158"/>
    <w:rsid w:val="21B7196D"/>
    <w:rsid w:val="21CC717D"/>
    <w:rsid w:val="21D50045"/>
    <w:rsid w:val="21EC657E"/>
    <w:rsid w:val="21F4671D"/>
    <w:rsid w:val="2228286B"/>
    <w:rsid w:val="223E416B"/>
    <w:rsid w:val="22424AA4"/>
    <w:rsid w:val="22C75BE0"/>
    <w:rsid w:val="22D736ED"/>
    <w:rsid w:val="22EF4C94"/>
    <w:rsid w:val="22F62B8A"/>
    <w:rsid w:val="22FB3ADB"/>
    <w:rsid w:val="23092164"/>
    <w:rsid w:val="23254D08"/>
    <w:rsid w:val="234E6B8F"/>
    <w:rsid w:val="23534E2B"/>
    <w:rsid w:val="239C706C"/>
    <w:rsid w:val="23A23767"/>
    <w:rsid w:val="23ED3D6C"/>
    <w:rsid w:val="242C02D7"/>
    <w:rsid w:val="244F0582"/>
    <w:rsid w:val="24533DC2"/>
    <w:rsid w:val="24783C95"/>
    <w:rsid w:val="24975A86"/>
    <w:rsid w:val="24DF6CBB"/>
    <w:rsid w:val="25140E84"/>
    <w:rsid w:val="251D04AA"/>
    <w:rsid w:val="251D41DD"/>
    <w:rsid w:val="2532334D"/>
    <w:rsid w:val="258C1362"/>
    <w:rsid w:val="26065781"/>
    <w:rsid w:val="26712A32"/>
    <w:rsid w:val="26750FF7"/>
    <w:rsid w:val="26A12EC9"/>
    <w:rsid w:val="26D6553E"/>
    <w:rsid w:val="26E9418F"/>
    <w:rsid w:val="26F23447"/>
    <w:rsid w:val="26FC533A"/>
    <w:rsid w:val="27194423"/>
    <w:rsid w:val="27290FC5"/>
    <w:rsid w:val="275D0830"/>
    <w:rsid w:val="278E13C2"/>
    <w:rsid w:val="27BB507E"/>
    <w:rsid w:val="27D03545"/>
    <w:rsid w:val="284C157C"/>
    <w:rsid w:val="286E4D4F"/>
    <w:rsid w:val="286F11F3"/>
    <w:rsid w:val="28A77F49"/>
    <w:rsid w:val="28BE1833"/>
    <w:rsid w:val="28CC2588"/>
    <w:rsid w:val="28EF3AAA"/>
    <w:rsid w:val="28FC627B"/>
    <w:rsid w:val="28FE41FC"/>
    <w:rsid w:val="29220014"/>
    <w:rsid w:val="29345C52"/>
    <w:rsid w:val="2996274E"/>
    <w:rsid w:val="29AD788C"/>
    <w:rsid w:val="29DB01C2"/>
    <w:rsid w:val="2A0C5D48"/>
    <w:rsid w:val="2A2305EB"/>
    <w:rsid w:val="2A3049B2"/>
    <w:rsid w:val="2A4648B7"/>
    <w:rsid w:val="2A585A67"/>
    <w:rsid w:val="2AA25DB2"/>
    <w:rsid w:val="2AB949A8"/>
    <w:rsid w:val="2AFB5241"/>
    <w:rsid w:val="2B005440"/>
    <w:rsid w:val="2B3319F8"/>
    <w:rsid w:val="2B393440"/>
    <w:rsid w:val="2B8C79C6"/>
    <w:rsid w:val="2BC5737C"/>
    <w:rsid w:val="2BC90C1A"/>
    <w:rsid w:val="2BEF7F55"/>
    <w:rsid w:val="2C03574A"/>
    <w:rsid w:val="2C117DB2"/>
    <w:rsid w:val="2C7B3B05"/>
    <w:rsid w:val="2CC277F5"/>
    <w:rsid w:val="2D13367F"/>
    <w:rsid w:val="2D4246BC"/>
    <w:rsid w:val="2D5E35E4"/>
    <w:rsid w:val="2D67525C"/>
    <w:rsid w:val="2D784F24"/>
    <w:rsid w:val="2D83129D"/>
    <w:rsid w:val="2DAC25A2"/>
    <w:rsid w:val="2DC33FC9"/>
    <w:rsid w:val="2DE81100"/>
    <w:rsid w:val="2E426A62"/>
    <w:rsid w:val="2E5E7AF7"/>
    <w:rsid w:val="2E717C8A"/>
    <w:rsid w:val="2E8702E5"/>
    <w:rsid w:val="2EB711FE"/>
    <w:rsid w:val="2ED51684"/>
    <w:rsid w:val="2EE73822"/>
    <w:rsid w:val="2F1877C3"/>
    <w:rsid w:val="2F4205EC"/>
    <w:rsid w:val="2F9B1AC2"/>
    <w:rsid w:val="2FAD4FD9"/>
    <w:rsid w:val="2FB346FB"/>
    <w:rsid w:val="2FB971F8"/>
    <w:rsid w:val="2FFA5778"/>
    <w:rsid w:val="300F0BC6"/>
    <w:rsid w:val="30437EC0"/>
    <w:rsid w:val="30495C84"/>
    <w:rsid w:val="30626EBE"/>
    <w:rsid w:val="30650005"/>
    <w:rsid w:val="310333AD"/>
    <w:rsid w:val="31205C64"/>
    <w:rsid w:val="313A1C72"/>
    <w:rsid w:val="31522189"/>
    <w:rsid w:val="318A49A8"/>
    <w:rsid w:val="318F1FBE"/>
    <w:rsid w:val="31C3610C"/>
    <w:rsid w:val="31E06468"/>
    <w:rsid w:val="32193F7E"/>
    <w:rsid w:val="3220355E"/>
    <w:rsid w:val="324E1D40"/>
    <w:rsid w:val="32546D64"/>
    <w:rsid w:val="32990C1B"/>
    <w:rsid w:val="329E6CD8"/>
    <w:rsid w:val="32D64E0C"/>
    <w:rsid w:val="332532E0"/>
    <w:rsid w:val="33425049"/>
    <w:rsid w:val="33440753"/>
    <w:rsid w:val="33773E42"/>
    <w:rsid w:val="338F39E0"/>
    <w:rsid w:val="33A31D51"/>
    <w:rsid w:val="34347866"/>
    <w:rsid w:val="34A9783B"/>
    <w:rsid w:val="34E14EA2"/>
    <w:rsid w:val="34E346A0"/>
    <w:rsid w:val="34F52A80"/>
    <w:rsid w:val="355C7D01"/>
    <w:rsid w:val="359B1151"/>
    <w:rsid w:val="35AD49A2"/>
    <w:rsid w:val="36172BC3"/>
    <w:rsid w:val="369C597C"/>
    <w:rsid w:val="36B531FC"/>
    <w:rsid w:val="36C93AEC"/>
    <w:rsid w:val="36CC7C95"/>
    <w:rsid w:val="36CF07E3"/>
    <w:rsid w:val="36EB650A"/>
    <w:rsid w:val="375F0685"/>
    <w:rsid w:val="378133A9"/>
    <w:rsid w:val="37D13058"/>
    <w:rsid w:val="37F11A0C"/>
    <w:rsid w:val="380354B4"/>
    <w:rsid w:val="383A233E"/>
    <w:rsid w:val="38653A79"/>
    <w:rsid w:val="38DB01DF"/>
    <w:rsid w:val="38FB5923"/>
    <w:rsid w:val="39101F1B"/>
    <w:rsid w:val="392D7EB3"/>
    <w:rsid w:val="39527431"/>
    <w:rsid w:val="39547840"/>
    <w:rsid w:val="39630B06"/>
    <w:rsid w:val="39720FC7"/>
    <w:rsid w:val="3986639D"/>
    <w:rsid w:val="39900FC9"/>
    <w:rsid w:val="39B60304"/>
    <w:rsid w:val="39CD52E9"/>
    <w:rsid w:val="3A184B1B"/>
    <w:rsid w:val="3A3E4582"/>
    <w:rsid w:val="3A4A73CA"/>
    <w:rsid w:val="3A641269"/>
    <w:rsid w:val="3A64388F"/>
    <w:rsid w:val="3A7829EB"/>
    <w:rsid w:val="3AEF48AF"/>
    <w:rsid w:val="3B0B043D"/>
    <w:rsid w:val="3B0E664A"/>
    <w:rsid w:val="3B467602"/>
    <w:rsid w:val="3B7F216D"/>
    <w:rsid w:val="3B8B3A2A"/>
    <w:rsid w:val="3BDF2457"/>
    <w:rsid w:val="3C046B64"/>
    <w:rsid w:val="3C3025F0"/>
    <w:rsid w:val="3C307BB1"/>
    <w:rsid w:val="3C544FF3"/>
    <w:rsid w:val="3C8E39AA"/>
    <w:rsid w:val="3CA53635"/>
    <w:rsid w:val="3D23372C"/>
    <w:rsid w:val="3D853F47"/>
    <w:rsid w:val="3D9646D4"/>
    <w:rsid w:val="3DD86A9B"/>
    <w:rsid w:val="3DF17B5D"/>
    <w:rsid w:val="3DF37D79"/>
    <w:rsid w:val="3DF80C94"/>
    <w:rsid w:val="3E064F5A"/>
    <w:rsid w:val="3E161B6B"/>
    <w:rsid w:val="3E42660A"/>
    <w:rsid w:val="3E7F5998"/>
    <w:rsid w:val="3E886713"/>
    <w:rsid w:val="3EA80554"/>
    <w:rsid w:val="3EDC6A5F"/>
    <w:rsid w:val="3EFD7EC7"/>
    <w:rsid w:val="3F0056DB"/>
    <w:rsid w:val="3F1A3023"/>
    <w:rsid w:val="3F23643C"/>
    <w:rsid w:val="3F243A9D"/>
    <w:rsid w:val="3F3441A5"/>
    <w:rsid w:val="3F7153F9"/>
    <w:rsid w:val="3F866701"/>
    <w:rsid w:val="3F8C72BC"/>
    <w:rsid w:val="3FDA7B0E"/>
    <w:rsid w:val="401D2E8B"/>
    <w:rsid w:val="40350295"/>
    <w:rsid w:val="405207A4"/>
    <w:rsid w:val="406E1D8D"/>
    <w:rsid w:val="40F260C6"/>
    <w:rsid w:val="410A617F"/>
    <w:rsid w:val="413466DE"/>
    <w:rsid w:val="41517290"/>
    <w:rsid w:val="41A27AEC"/>
    <w:rsid w:val="41B17D2F"/>
    <w:rsid w:val="42053C57"/>
    <w:rsid w:val="42091919"/>
    <w:rsid w:val="42214BD9"/>
    <w:rsid w:val="42324DFA"/>
    <w:rsid w:val="425F30ED"/>
    <w:rsid w:val="42FA74B4"/>
    <w:rsid w:val="431353F3"/>
    <w:rsid w:val="43455446"/>
    <w:rsid w:val="43692E36"/>
    <w:rsid w:val="437D57D2"/>
    <w:rsid w:val="43B92ECB"/>
    <w:rsid w:val="43BC1F75"/>
    <w:rsid w:val="44290050"/>
    <w:rsid w:val="445A645C"/>
    <w:rsid w:val="448C0FB5"/>
    <w:rsid w:val="44D73C0D"/>
    <w:rsid w:val="44DA072F"/>
    <w:rsid w:val="44ED76B2"/>
    <w:rsid w:val="45014B29"/>
    <w:rsid w:val="454D0F8E"/>
    <w:rsid w:val="456357E4"/>
    <w:rsid w:val="45A932D5"/>
    <w:rsid w:val="45E61567"/>
    <w:rsid w:val="45FC0A54"/>
    <w:rsid w:val="461D469A"/>
    <w:rsid w:val="466976E6"/>
    <w:rsid w:val="469D0882"/>
    <w:rsid w:val="46EA0CE7"/>
    <w:rsid w:val="470D4256"/>
    <w:rsid w:val="472208AE"/>
    <w:rsid w:val="474653BD"/>
    <w:rsid w:val="474C1993"/>
    <w:rsid w:val="47704C41"/>
    <w:rsid w:val="478A34FC"/>
    <w:rsid w:val="47B925F3"/>
    <w:rsid w:val="47CA03F9"/>
    <w:rsid w:val="4884619D"/>
    <w:rsid w:val="48910AEC"/>
    <w:rsid w:val="48A51C70"/>
    <w:rsid w:val="48B3170D"/>
    <w:rsid w:val="48B3438D"/>
    <w:rsid w:val="48B41562"/>
    <w:rsid w:val="493C7DE9"/>
    <w:rsid w:val="496614F0"/>
    <w:rsid w:val="496D09DF"/>
    <w:rsid w:val="49E86A9E"/>
    <w:rsid w:val="4A1E13B4"/>
    <w:rsid w:val="4A2C49B0"/>
    <w:rsid w:val="4A7D1B0F"/>
    <w:rsid w:val="4A802994"/>
    <w:rsid w:val="4A835FE1"/>
    <w:rsid w:val="4AAC50D1"/>
    <w:rsid w:val="4AB97C54"/>
    <w:rsid w:val="4AD064EF"/>
    <w:rsid w:val="4AD71467"/>
    <w:rsid w:val="4AE82438"/>
    <w:rsid w:val="4B133808"/>
    <w:rsid w:val="4B307F16"/>
    <w:rsid w:val="4B4E4840"/>
    <w:rsid w:val="4B816722"/>
    <w:rsid w:val="4BA66D31"/>
    <w:rsid w:val="4BB3676F"/>
    <w:rsid w:val="4BE156B5"/>
    <w:rsid w:val="4BE27F8A"/>
    <w:rsid w:val="4BEA1BAB"/>
    <w:rsid w:val="4C2B6930"/>
    <w:rsid w:val="4C4961F7"/>
    <w:rsid w:val="4C5A2B74"/>
    <w:rsid w:val="4C7B3413"/>
    <w:rsid w:val="4C800B8C"/>
    <w:rsid w:val="4C827595"/>
    <w:rsid w:val="4D0227B8"/>
    <w:rsid w:val="4D1F6494"/>
    <w:rsid w:val="4D2D20D9"/>
    <w:rsid w:val="4D4B1038"/>
    <w:rsid w:val="4DA074F7"/>
    <w:rsid w:val="4DA33F07"/>
    <w:rsid w:val="4DDE52C0"/>
    <w:rsid w:val="4DE512EE"/>
    <w:rsid w:val="4DFB00F6"/>
    <w:rsid w:val="4E257980"/>
    <w:rsid w:val="4E557C94"/>
    <w:rsid w:val="4E8932F2"/>
    <w:rsid w:val="4F785FAC"/>
    <w:rsid w:val="4F890907"/>
    <w:rsid w:val="4FDC2A12"/>
    <w:rsid w:val="4FF0236A"/>
    <w:rsid w:val="507629FF"/>
    <w:rsid w:val="508605D9"/>
    <w:rsid w:val="50A1397F"/>
    <w:rsid w:val="5100209E"/>
    <w:rsid w:val="51162A65"/>
    <w:rsid w:val="5176064D"/>
    <w:rsid w:val="517B2107"/>
    <w:rsid w:val="51C75DFE"/>
    <w:rsid w:val="51CC3074"/>
    <w:rsid w:val="52496610"/>
    <w:rsid w:val="52741FCB"/>
    <w:rsid w:val="528D3EA0"/>
    <w:rsid w:val="52D06B10"/>
    <w:rsid w:val="52F263F9"/>
    <w:rsid w:val="52F82940"/>
    <w:rsid w:val="52FB52AE"/>
    <w:rsid w:val="53401A68"/>
    <w:rsid w:val="53536515"/>
    <w:rsid w:val="536B21BA"/>
    <w:rsid w:val="53A862CC"/>
    <w:rsid w:val="542A0FDA"/>
    <w:rsid w:val="544D7D8B"/>
    <w:rsid w:val="54604111"/>
    <w:rsid w:val="546D5D37"/>
    <w:rsid w:val="54E877FB"/>
    <w:rsid w:val="54ED53D0"/>
    <w:rsid w:val="55091CCC"/>
    <w:rsid w:val="55256612"/>
    <w:rsid w:val="55B549BA"/>
    <w:rsid w:val="55C25880"/>
    <w:rsid w:val="56307253"/>
    <w:rsid w:val="56453199"/>
    <w:rsid w:val="564B4B24"/>
    <w:rsid w:val="564C629A"/>
    <w:rsid w:val="56903F5F"/>
    <w:rsid w:val="56EF7016"/>
    <w:rsid w:val="57062473"/>
    <w:rsid w:val="5755514A"/>
    <w:rsid w:val="5797379E"/>
    <w:rsid w:val="57AF50D5"/>
    <w:rsid w:val="57B13F43"/>
    <w:rsid w:val="582F6DAB"/>
    <w:rsid w:val="586456A3"/>
    <w:rsid w:val="586E6522"/>
    <w:rsid w:val="58AD45AF"/>
    <w:rsid w:val="58D4718C"/>
    <w:rsid w:val="58E00F99"/>
    <w:rsid w:val="590C78EE"/>
    <w:rsid w:val="59192495"/>
    <w:rsid w:val="59346858"/>
    <w:rsid w:val="59581771"/>
    <w:rsid w:val="59A82CA5"/>
    <w:rsid w:val="59C04A43"/>
    <w:rsid w:val="59CC52AE"/>
    <w:rsid w:val="5A1804F3"/>
    <w:rsid w:val="5A1F7AD4"/>
    <w:rsid w:val="5A2E7D17"/>
    <w:rsid w:val="5A6516AD"/>
    <w:rsid w:val="5A9B2ED2"/>
    <w:rsid w:val="5AC16D7A"/>
    <w:rsid w:val="5AD536B4"/>
    <w:rsid w:val="5AEA4CCC"/>
    <w:rsid w:val="5B00578F"/>
    <w:rsid w:val="5B031B11"/>
    <w:rsid w:val="5B184523"/>
    <w:rsid w:val="5B503CBD"/>
    <w:rsid w:val="5B96574B"/>
    <w:rsid w:val="5C1B7B96"/>
    <w:rsid w:val="5C1E200D"/>
    <w:rsid w:val="5C1E5B4F"/>
    <w:rsid w:val="5C576978"/>
    <w:rsid w:val="5C5A652B"/>
    <w:rsid w:val="5CD56B70"/>
    <w:rsid w:val="5D064006"/>
    <w:rsid w:val="5D320FC0"/>
    <w:rsid w:val="5D797461"/>
    <w:rsid w:val="5DAF5613"/>
    <w:rsid w:val="5DD962CB"/>
    <w:rsid w:val="5DDE1A54"/>
    <w:rsid w:val="5DE138D8"/>
    <w:rsid w:val="5E041A9E"/>
    <w:rsid w:val="5E1921ED"/>
    <w:rsid w:val="5EDB106D"/>
    <w:rsid w:val="5EE035AA"/>
    <w:rsid w:val="5F476F94"/>
    <w:rsid w:val="5F7D5E8E"/>
    <w:rsid w:val="5F7F522A"/>
    <w:rsid w:val="601337BB"/>
    <w:rsid w:val="6019608A"/>
    <w:rsid w:val="6037544B"/>
    <w:rsid w:val="606A165C"/>
    <w:rsid w:val="60A07495"/>
    <w:rsid w:val="60FF56E8"/>
    <w:rsid w:val="61586A4A"/>
    <w:rsid w:val="61730705"/>
    <w:rsid w:val="61744F52"/>
    <w:rsid w:val="61812E22"/>
    <w:rsid w:val="61891CD7"/>
    <w:rsid w:val="61AB1547"/>
    <w:rsid w:val="61ED6709"/>
    <w:rsid w:val="62281F6A"/>
    <w:rsid w:val="622C715E"/>
    <w:rsid w:val="623E1AE1"/>
    <w:rsid w:val="624427E8"/>
    <w:rsid w:val="62A87E16"/>
    <w:rsid w:val="62CA561A"/>
    <w:rsid w:val="6313315F"/>
    <w:rsid w:val="63155479"/>
    <w:rsid w:val="63251ED3"/>
    <w:rsid w:val="632F68AE"/>
    <w:rsid w:val="634E31D8"/>
    <w:rsid w:val="63531AF3"/>
    <w:rsid w:val="63604CB9"/>
    <w:rsid w:val="63CD6C1F"/>
    <w:rsid w:val="63D640D5"/>
    <w:rsid w:val="643A2D32"/>
    <w:rsid w:val="646627A3"/>
    <w:rsid w:val="649B2720"/>
    <w:rsid w:val="64A56430"/>
    <w:rsid w:val="64E80387"/>
    <w:rsid w:val="65055217"/>
    <w:rsid w:val="652A557F"/>
    <w:rsid w:val="656059D9"/>
    <w:rsid w:val="65BB2793"/>
    <w:rsid w:val="65CD4095"/>
    <w:rsid w:val="65E07311"/>
    <w:rsid w:val="65FF1B98"/>
    <w:rsid w:val="66203740"/>
    <w:rsid w:val="662B5A52"/>
    <w:rsid w:val="66495ED8"/>
    <w:rsid w:val="664F5C5B"/>
    <w:rsid w:val="667027CF"/>
    <w:rsid w:val="6688694C"/>
    <w:rsid w:val="66DE335E"/>
    <w:rsid w:val="67112E9A"/>
    <w:rsid w:val="67114C48"/>
    <w:rsid w:val="671A26C1"/>
    <w:rsid w:val="671C4F1D"/>
    <w:rsid w:val="674548F2"/>
    <w:rsid w:val="67780823"/>
    <w:rsid w:val="67A410D5"/>
    <w:rsid w:val="67C577E1"/>
    <w:rsid w:val="67C9169A"/>
    <w:rsid w:val="68245589"/>
    <w:rsid w:val="6874064A"/>
    <w:rsid w:val="68777DD2"/>
    <w:rsid w:val="69201173"/>
    <w:rsid w:val="69450BD9"/>
    <w:rsid w:val="69456428"/>
    <w:rsid w:val="69872FA0"/>
    <w:rsid w:val="69983CE0"/>
    <w:rsid w:val="699C10F5"/>
    <w:rsid w:val="699C655E"/>
    <w:rsid w:val="6A0445F0"/>
    <w:rsid w:val="6A164324"/>
    <w:rsid w:val="6A1C1694"/>
    <w:rsid w:val="6A721EA2"/>
    <w:rsid w:val="6A751DB0"/>
    <w:rsid w:val="6AAB0F10"/>
    <w:rsid w:val="6AB95533"/>
    <w:rsid w:val="6AC50223"/>
    <w:rsid w:val="6AD95A7D"/>
    <w:rsid w:val="6B037E0E"/>
    <w:rsid w:val="6B146AB5"/>
    <w:rsid w:val="6B1B463A"/>
    <w:rsid w:val="6B324F97"/>
    <w:rsid w:val="6B364C7D"/>
    <w:rsid w:val="6B3727A3"/>
    <w:rsid w:val="6B4A0729"/>
    <w:rsid w:val="6B680BAF"/>
    <w:rsid w:val="6B6A0DCB"/>
    <w:rsid w:val="6BC154C5"/>
    <w:rsid w:val="6BDE41BB"/>
    <w:rsid w:val="6C104F2F"/>
    <w:rsid w:val="6C4B4758"/>
    <w:rsid w:val="6C5462A8"/>
    <w:rsid w:val="6C917FD7"/>
    <w:rsid w:val="6CE73B2D"/>
    <w:rsid w:val="6CE93F71"/>
    <w:rsid w:val="6D3769B4"/>
    <w:rsid w:val="6D865F2E"/>
    <w:rsid w:val="6D8B36BB"/>
    <w:rsid w:val="6DE85FD7"/>
    <w:rsid w:val="6DF606F4"/>
    <w:rsid w:val="6E1F5E9D"/>
    <w:rsid w:val="6E3A2CD6"/>
    <w:rsid w:val="6EBE3907"/>
    <w:rsid w:val="6ECB1B80"/>
    <w:rsid w:val="6F9B1553"/>
    <w:rsid w:val="6FA67EF8"/>
    <w:rsid w:val="6FEE3AA6"/>
    <w:rsid w:val="70741DD0"/>
    <w:rsid w:val="707D334E"/>
    <w:rsid w:val="70FC4273"/>
    <w:rsid w:val="70FE1717"/>
    <w:rsid w:val="71A36DE5"/>
    <w:rsid w:val="71BB7860"/>
    <w:rsid w:val="71CD1741"/>
    <w:rsid w:val="720158B9"/>
    <w:rsid w:val="720C351F"/>
    <w:rsid w:val="72440385"/>
    <w:rsid w:val="726A345E"/>
    <w:rsid w:val="728B18E3"/>
    <w:rsid w:val="72A957CB"/>
    <w:rsid w:val="73412411"/>
    <w:rsid w:val="73761484"/>
    <w:rsid w:val="737E5413"/>
    <w:rsid w:val="739F6DEE"/>
    <w:rsid w:val="73E70E18"/>
    <w:rsid w:val="73F352DB"/>
    <w:rsid w:val="743F3C99"/>
    <w:rsid w:val="74430CA6"/>
    <w:rsid w:val="74835482"/>
    <w:rsid w:val="74877DC7"/>
    <w:rsid w:val="74A24D5F"/>
    <w:rsid w:val="74B41381"/>
    <w:rsid w:val="752913AF"/>
    <w:rsid w:val="755802CB"/>
    <w:rsid w:val="755E374E"/>
    <w:rsid w:val="7568355A"/>
    <w:rsid w:val="756B19C7"/>
    <w:rsid w:val="75890D8F"/>
    <w:rsid w:val="75951033"/>
    <w:rsid w:val="75B043EA"/>
    <w:rsid w:val="75FE45EA"/>
    <w:rsid w:val="763319FA"/>
    <w:rsid w:val="765379C9"/>
    <w:rsid w:val="766F4755"/>
    <w:rsid w:val="76967C6D"/>
    <w:rsid w:val="76A85DEC"/>
    <w:rsid w:val="76D90F68"/>
    <w:rsid w:val="7706409E"/>
    <w:rsid w:val="77575D2B"/>
    <w:rsid w:val="77BF424C"/>
    <w:rsid w:val="77C1540B"/>
    <w:rsid w:val="78346900"/>
    <w:rsid w:val="783E7320"/>
    <w:rsid w:val="78646D02"/>
    <w:rsid w:val="78A31478"/>
    <w:rsid w:val="78C733B9"/>
    <w:rsid w:val="78CB19C0"/>
    <w:rsid w:val="78E753F3"/>
    <w:rsid w:val="78E75809"/>
    <w:rsid w:val="78EC1071"/>
    <w:rsid w:val="78F35EFE"/>
    <w:rsid w:val="78FF5669"/>
    <w:rsid w:val="7918780F"/>
    <w:rsid w:val="793275BA"/>
    <w:rsid w:val="79366D92"/>
    <w:rsid w:val="79703A50"/>
    <w:rsid w:val="797B41A3"/>
    <w:rsid w:val="79A724F1"/>
    <w:rsid w:val="79B56B48"/>
    <w:rsid w:val="79DF4732"/>
    <w:rsid w:val="7A2D1941"/>
    <w:rsid w:val="7A3C1F57"/>
    <w:rsid w:val="7A4B4648"/>
    <w:rsid w:val="7A4B7878"/>
    <w:rsid w:val="7A6D100D"/>
    <w:rsid w:val="7A6D212F"/>
    <w:rsid w:val="7AAA4D40"/>
    <w:rsid w:val="7ACF47A6"/>
    <w:rsid w:val="7B0A57DF"/>
    <w:rsid w:val="7B5D048D"/>
    <w:rsid w:val="7B810197"/>
    <w:rsid w:val="7B9003DA"/>
    <w:rsid w:val="7BC736D0"/>
    <w:rsid w:val="7C030BAC"/>
    <w:rsid w:val="7C5F16F8"/>
    <w:rsid w:val="7C9D3E10"/>
    <w:rsid w:val="7CAC1243"/>
    <w:rsid w:val="7CAF2E48"/>
    <w:rsid w:val="7CB122FF"/>
    <w:rsid w:val="7CED7166"/>
    <w:rsid w:val="7CFC55FB"/>
    <w:rsid w:val="7D796C4C"/>
    <w:rsid w:val="7D8B2F11"/>
    <w:rsid w:val="7DA93E8E"/>
    <w:rsid w:val="7DAE14FE"/>
    <w:rsid w:val="7DBA67DE"/>
    <w:rsid w:val="7DE93DD1"/>
    <w:rsid w:val="7DEE3421"/>
    <w:rsid w:val="7DF05160"/>
    <w:rsid w:val="7DF53ACA"/>
    <w:rsid w:val="7E1F5A45"/>
    <w:rsid w:val="7E245CEA"/>
    <w:rsid w:val="7E53398F"/>
    <w:rsid w:val="7EE2418C"/>
    <w:rsid w:val="7EEA6053"/>
    <w:rsid w:val="7EF4167B"/>
    <w:rsid w:val="7EFC7B34"/>
    <w:rsid w:val="7F062761"/>
    <w:rsid w:val="7F0C5FC9"/>
    <w:rsid w:val="7F0E4C61"/>
    <w:rsid w:val="7F7F4C0B"/>
    <w:rsid w:val="7FE44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w:basedOn w:val="1"/>
    <w:next w:val="1"/>
    <w:autoRedefine/>
    <w:unhideWhenUsed/>
    <w:qFormat/>
    <w:uiPriority w:val="0"/>
    <w:pPr>
      <w:spacing w:after="120"/>
    </w:pPr>
    <w:rPr>
      <w:rFonts w:ascii="Calibri" w:hAnsi="Calibri"/>
      <w:kern w:val="2"/>
      <w:szCs w:val="22"/>
    </w:rPr>
  </w:style>
  <w:style w:type="paragraph" w:styleId="5">
    <w:name w:val="Plain Text"/>
    <w:basedOn w:val="1"/>
    <w:autoRedefine/>
    <w:unhideWhenUsed/>
    <w:qFormat/>
    <w:uiPriority w:val="0"/>
    <w:rPr>
      <w:rFonts w:ascii="宋体" w:hAnsi="Courier New" w:cs="Courier New"/>
      <w:kern w:val="2"/>
      <w:szCs w:val="21"/>
    </w:rPr>
  </w:style>
  <w:style w:type="paragraph" w:styleId="6">
    <w:name w:val="footer"/>
    <w:basedOn w:val="1"/>
    <w:link w:val="16"/>
    <w:autoRedefine/>
    <w:qFormat/>
    <w:uiPriority w:val="0"/>
    <w:pPr>
      <w:tabs>
        <w:tab w:val="center" w:pos="4153"/>
        <w:tab w:val="right" w:pos="8306"/>
      </w:tabs>
      <w:snapToGrid w:val="0"/>
      <w:jc w:val="left"/>
    </w:pPr>
    <w:rPr>
      <w:sz w:val="18"/>
      <w:szCs w:val="18"/>
    </w:rPr>
  </w:style>
  <w:style w:type="paragraph" w:styleId="7">
    <w:name w:val="header"/>
    <w:basedOn w:val="1"/>
    <w:link w:val="15"/>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paragraph" w:customStyle="1" w:styleId="13">
    <w:name w:val="BodyText"/>
    <w:basedOn w:val="1"/>
    <w:qFormat/>
    <w:uiPriority w:val="0"/>
    <w:pPr>
      <w:spacing w:after="120"/>
      <w:textAlignment w:val="baseline"/>
    </w:pPr>
    <w:rPr>
      <w:rFonts w:ascii="Calibri"/>
      <w:sz w:val="20"/>
    </w:rPr>
  </w:style>
  <w:style w:type="paragraph" w:customStyle="1" w:styleId="14">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5">
    <w:name w:val="页眉 Char"/>
    <w:basedOn w:val="11"/>
    <w:link w:val="7"/>
    <w:autoRedefine/>
    <w:qFormat/>
    <w:uiPriority w:val="0"/>
    <w:rPr>
      <w:rFonts w:asciiTheme="minorHAnsi" w:hAnsiTheme="minorHAnsi" w:eastAsiaTheme="minorEastAsia" w:cstheme="minorBidi"/>
      <w:kern w:val="2"/>
      <w:sz w:val="18"/>
      <w:szCs w:val="18"/>
    </w:rPr>
  </w:style>
  <w:style w:type="character" w:customStyle="1" w:styleId="16">
    <w:name w:val="页脚 Char"/>
    <w:basedOn w:val="11"/>
    <w:link w:val="6"/>
    <w:autoRedefine/>
    <w:qFormat/>
    <w:uiPriority w:val="0"/>
    <w:rPr>
      <w:rFonts w:asciiTheme="minorHAnsi" w:hAnsiTheme="minorHAnsi" w:eastAsiaTheme="minorEastAsia" w:cstheme="minorBidi"/>
      <w:kern w:val="2"/>
      <w:sz w:val="18"/>
      <w:szCs w:val="18"/>
    </w:rPr>
  </w:style>
  <w:style w:type="paragraph" w:customStyle="1" w:styleId="17">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8">
    <w:name w:val="页脚1"/>
    <w:basedOn w:val="1"/>
    <w:autoRedefine/>
    <w:unhideWhenUsed/>
    <w:qFormat/>
    <w:uiPriority w:val="99"/>
    <w:pPr>
      <w:tabs>
        <w:tab w:val="center" w:pos="4153"/>
        <w:tab w:val="right" w:pos="8306"/>
      </w:tabs>
      <w:jc w:val="left"/>
    </w:pPr>
    <w:rPr>
      <w:sz w:val="18"/>
      <w:szCs w:val="18"/>
    </w:rPr>
  </w:style>
  <w:style w:type="paragraph" w:customStyle="1" w:styleId="19">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0">
    <w:name w:val="正文首行缩进 21"/>
    <w:basedOn w:val="21"/>
    <w:qFormat/>
    <w:uiPriority w:val="0"/>
    <w:pPr>
      <w:ind w:firstLine="420"/>
    </w:pPr>
  </w:style>
  <w:style w:type="paragraph" w:customStyle="1" w:styleId="21">
    <w:name w:val="正文文本缩进1"/>
    <w:basedOn w:val="1"/>
    <w:qFormat/>
    <w:uiPriority w:val="0"/>
    <w:pPr>
      <w:spacing w:after="120"/>
      <w:ind w:left="420"/>
    </w:pPr>
  </w:style>
  <w:style w:type="paragraph" w:customStyle="1" w:styleId="22">
    <w:name w:val="表格"/>
    <w:basedOn w:val="1"/>
    <w:qFormat/>
    <w:uiPriority w:val="0"/>
    <w:pPr>
      <w:spacing w:line="240" w:lineRule="auto"/>
      <w:ind w:firstLine="0"/>
      <w:jc w:val="center"/>
    </w:pPr>
    <w:rPr>
      <w:sz w:val="24"/>
    </w:rPr>
  </w:style>
  <w:style w:type="character" w:customStyle="1" w:styleId="23">
    <w:name w:val="font21"/>
    <w:basedOn w:val="11"/>
    <w:qFormat/>
    <w:uiPriority w:val="0"/>
    <w:rPr>
      <w:rFonts w:ascii="Wingdings 2" w:hAnsi="Wingdings 2" w:eastAsia="Wingdings 2" w:cs="Wingdings 2"/>
      <w:color w:val="000000"/>
      <w:sz w:val="20"/>
      <w:szCs w:val="20"/>
      <w:u w:val="none"/>
    </w:rPr>
  </w:style>
  <w:style w:type="character" w:customStyle="1" w:styleId="24">
    <w:name w:val="font11"/>
    <w:basedOn w:val="11"/>
    <w:qFormat/>
    <w:uiPriority w:val="0"/>
    <w:rPr>
      <w:rFonts w:hint="eastAsia" w:ascii="宋体" w:hAnsi="宋体" w:eastAsia="宋体" w:cs="宋体"/>
      <w:color w:val="000000"/>
      <w:sz w:val="20"/>
      <w:szCs w:val="20"/>
      <w:u w:val="none"/>
    </w:rPr>
  </w:style>
  <w:style w:type="character" w:customStyle="1" w:styleId="25">
    <w:name w:val="font51"/>
    <w:basedOn w:val="11"/>
    <w:autoRedefine/>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96</Pages>
  <Words>11592</Words>
  <Characters>12583</Characters>
  <Lines>183</Lines>
  <Paragraphs>51</Paragraphs>
  <TotalTime>2</TotalTime>
  <ScaleCrop>false</ScaleCrop>
  <LinksUpToDate>false</LinksUpToDate>
  <CharactersWithSpaces>12852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D-j</cp:lastModifiedBy>
  <cp:lastPrinted>2025-12-12T06:32:00Z</cp:lastPrinted>
  <dcterms:modified xsi:type="dcterms:W3CDTF">2025-12-15T08:15:21Z</dcterms:modified>
  <cp:revision>119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85114523F754412A9D75CA4C9CEA3594_13</vt:lpwstr>
  </property>
  <property fmtid="{D5CDD505-2E9C-101B-9397-08002B2CF9AE}" pid="4" name="KSOTemplateDocerSaveRecord">
    <vt:lpwstr>eyJoZGlkIjoiYTQwMmNkMzY1Mzg3M2Y1OWNkNjAzOGE5YWM0NjNiNmMiLCJ1c2VySWQiOiI1Nzk3MzIxOTcifQ==</vt:lpwstr>
  </property>
</Properties>
</file>